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560" w:lineRule="exact"/>
        <w:jc w:val="both"/>
        <w:rPr>
          <w:rFonts w:hint="eastAsia" w:ascii="黑体" w:hAnsi="黑体" w:eastAsia="黑体"/>
          <w:color w:val="auto"/>
          <w:sz w:val="32"/>
          <w:lang w:val="en-US" w:eastAsia="zh-CN"/>
        </w:rPr>
      </w:pPr>
      <w:r>
        <w:rPr>
          <w:rFonts w:hint="eastAsia" w:ascii="黑体" w:hAnsi="黑体" w:eastAsia="黑体"/>
          <w:color w:val="auto"/>
          <w:sz w:val="32"/>
          <w:lang w:val="zh-CN"/>
        </w:rPr>
        <w:t>附件</w:t>
      </w:r>
      <w:r>
        <w:rPr>
          <w:rFonts w:hint="eastAsia" w:ascii="黑体" w:hAnsi="黑体" w:eastAsia="黑体"/>
          <w:color w:val="auto"/>
          <w:sz w:val="32"/>
          <w:lang w:val="en-US" w:eastAsia="zh-CN"/>
        </w:rPr>
        <w:t>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庙</w:t>
      </w:r>
      <w:r>
        <w:rPr>
          <w:rFonts w:hint="eastAsia" w:ascii="方正小标宋简体" w:hAnsi="方正小标宋简体" w:eastAsia="方正小标宋简体" w:cs="方正小标宋简体"/>
          <w:sz w:val="44"/>
          <w:szCs w:val="44"/>
        </w:rPr>
        <w:t>镇安全生产监督检查记分管理办</w:t>
      </w:r>
      <w:r>
        <w:rPr>
          <w:rFonts w:hint="eastAsia" w:ascii="方正小标宋简体" w:hAnsi="方正小标宋简体" w:eastAsia="方正小标宋简体" w:cs="方正小标宋简体"/>
          <w:sz w:val="44"/>
          <w:szCs w:val="44"/>
          <w:lang w:val="en-US" w:eastAsia="zh-CN"/>
        </w:rPr>
        <w:t>法</w:t>
      </w:r>
    </w:p>
    <w:p>
      <w:pPr>
        <w:pStyle w:val="4"/>
        <w:keepNext w:val="0"/>
        <w:keepLines w:val="0"/>
        <w:pageBreakBefore w:val="0"/>
        <w:widowControl w:val="0"/>
        <w:kinsoku/>
        <w:wordWrap/>
        <w:overflowPunct/>
        <w:topLinePunct w:val="0"/>
        <w:bidi w:val="0"/>
        <w:snapToGrid/>
        <w:spacing w:before="0" w:beforeAutospacing="0" w:after="0" w:afterAutospacing="0" w:line="560" w:lineRule="exact"/>
        <w:jc w:val="both"/>
        <w:textAlignment w:val="auto"/>
        <w:rPr>
          <w:rFonts w:ascii="方正小标宋简体" w:eastAsia="方正小标宋简体" w:hAnsiTheme="majorEastAsia"/>
          <w:bCs/>
          <w:color w:val="000000" w:themeColor="text1"/>
          <w:kern w:val="36"/>
          <w:sz w:val="36"/>
          <w:szCs w:val="36"/>
          <w14:textFill>
            <w14:solidFill>
              <w14:schemeClr w14:val="tx1"/>
            </w14:solidFill>
          </w14:textFill>
        </w:rPr>
      </w:pPr>
    </w:p>
    <w:p>
      <w:pPr>
        <w:keepNext w:val="0"/>
        <w:keepLines w:val="0"/>
        <w:pageBreakBefore w:val="0"/>
        <w:shd w:val="clear" w:color="auto" w:fill="FFFFFF"/>
        <w:kinsoku/>
        <w:wordWrap/>
        <w:overflowPunct/>
        <w:topLinePunct w:val="0"/>
        <w:bidi w:val="0"/>
        <w:snapToGrid/>
        <w:spacing w:line="540" w:lineRule="exact"/>
        <w:ind w:firstLine="643"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14:textFill>
            <w14:solidFill>
              <w14:schemeClr w14:val="tx1"/>
            </w14:solidFill>
          </w14:textFill>
        </w:rPr>
        <w:t>目的依据</w:t>
      </w:r>
    </w:p>
    <w:p>
      <w:pPr>
        <w:keepNext w:val="0"/>
        <w:keepLines w:val="0"/>
        <w:pageBreakBefore w:val="0"/>
        <w:shd w:val="clear" w:color="auto" w:fill="FFFFFF"/>
        <w:kinsoku/>
        <w:wordWrap/>
        <w:overflowPunct/>
        <w:topLinePunct w:val="0"/>
        <w:bidi w:val="0"/>
        <w:snapToGrid/>
        <w:spacing w:line="540" w:lineRule="exact"/>
        <w:ind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w:t>
      </w:r>
      <w:r>
        <w:rPr>
          <w:rFonts w:hint="eastAsia" w:ascii="仿宋_GB2312" w:hAnsi="仿宋_GB2312" w:eastAsia="仿宋_GB2312" w:cs="仿宋_GB2312"/>
          <w:color w:val="000000" w:themeColor="text1"/>
          <w:kern w:val="0"/>
          <w:sz w:val="32"/>
          <w:szCs w:val="32"/>
          <w14:textFill>
            <w14:solidFill>
              <w14:schemeClr w14:val="tx1"/>
            </w14:solidFill>
          </w14:textFill>
        </w:rPr>
        <w:t>完善安全生产分级属地监管机制，强化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我镇</w:t>
      </w:r>
      <w:r>
        <w:rPr>
          <w:rFonts w:hint="eastAsia" w:ascii="仿宋_GB2312" w:hAnsi="仿宋_GB2312" w:eastAsia="仿宋_GB2312" w:cs="仿宋_GB2312"/>
          <w:color w:val="000000" w:themeColor="text1"/>
          <w:sz w:val="32"/>
          <w:szCs w:val="32"/>
          <w14:textFill>
            <w14:solidFill>
              <w14:schemeClr w14:val="tx1"/>
            </w14:solidFill>
          </w14:textFill>
        </w:rPr>
        <w:t>安全生产监督检查职责</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督促工贸行业企业（以下简称企业）落实安全生产主体责任。根据《中华人民共和国安全生产法》</w:t>
      </w:r>
      <w:r>
        <w:rPr>
          <w:rStyle w:val="9"/>
          <w:rFonts w:hint="eastAsia" w:ascii="仿宋_GB2312" w:hAnsi="仿宋_GB2312" w:eastAsia="仿宋_GB2312" w:cs="仿宋_GB2312"/>
          <w:color w:val="000000" w:themeColor="text1"/>
          <w:kern w:val="0"/>
          <w:sz w:val="32"/>
          <w:szCs w:val="32"/>
          <w14:textFill>
            <w14:solidFill>
              <w14:schemeClr w14:val="tx1"/>
            </w14:solidFill>
          </w14:textFill>
        </w:rPr>
        <w:t>《上海市安全生产条例》</w:t>
      </w:r>
      <w:r>
        <w:rPr>
          <w:rFonts w:hint="eastAsia" w:ascii="仿宋_GB2312" w:hAnsi="仿宋_GB2312" w:eastAsia="仿宋_GB2312" w:cs="仿宋_GB2312"/>
          <w:color w:val="000000" w:themeColor="text1"/>
          <w:sz w:val="32"/>
          <w:szCs w:val="32"/>
          <w14:textFill>
            <w14:solidFill>
              <w14:schemeClr w14:val="tx1"/>
            </w14:solidFill>
          </w14:textFill>
        </w:rPr>
        <w:t>等法律法规和文件精神，结合本地区实际制定本办法。</w:t>
      </w:r>
    </w:p>
    <w:p>
      <w:pPr>
        <w:pStyle w:val="4"/>
        <w:keepNext w:val="0"/>
        <w:keepLines w:val="0"/>
        <w:pageBreakBefore w:val="0"/>
        <w:widowControl w:val="0"/>
        <w:numPr>
          <w:ilvl w:val="0"/>
          <w:numId w:val="1"/>
        </w:numPr>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记分事项</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我镇</w:t>
      </w:r>
      <w:r>
        <w:rPr>
          <w:rFonts w:hint="eastAsia" w:ascii="仿宋_GB2312" w:hAnsi="仿宋_GB2312" w:eastAsia="仿宋_GB2312" w:cs="仿宋_GB2312"/>
          <w:color w:val="000000" w:themeColor="text1"/>
          <w:sz w:val="32"/>
          <w:szCs w:val="32"/>
          <w14:textFill>
            <w14:solidFill>
              <w14:schemeClr w14:val="tx1"/>
            </w14:solidFill>
          </w14:textFill>
        </w:rPr>
        <w:t>对企业监督检查实行记分制管理。</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区应急局根据本地区安全生产形势和特点制定并每年调整一次乡镇安全生产监督检查记分事项及裁量基准（附件1《崇明区乡镇安全生产监督检查记分表》）。</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 xml:space="preserve">镇应当将《崇明区乡镇安全生产监督检查记分表》提前传达相关企业。 </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镇对企业监督检查包括但不限于监督检查记分裁量基准所列事项。</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镇检查人员发现企业存在安全生产事故隐患或不符合法律法规行为且涉及记分事项的，除依法行使现场处理职责外，还应当根据本办法规定对企业进行记分。</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记分运用</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记分分值作为评判企业安全风险管控效果的重要依据之一。对记分周期内累积达到相应分值的企业，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我镇将</w:t>
      </w:r>
      <w:r>
        <w:rPr>
          <w:rFonts w:hint="eastAsia" w:ascii="仿宋_GB2312" w:hAnsi="仿宋_GB2312" w:eastAsia="仿宋_GB2312" w:cs="仿宋_GB2312"/>
          <w:color w:val="000000" w:themeColor="text1"/>
          <w:sz w:val="32"/>
          <w:szCs w:val="32"/>
          <w14:textFill>
            <w14:solidFill>
              <w14:schemeClr w14:val="tx1"/>
            </w14:solidFill>
          </w14:textFill>
        </w:rPr>
        <w:t>对其加强安全生产监督监察。</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（一）增加检查频次。累积记分满6分的，应对其增加不定期抽查。</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（二）约谈企业负责人。累积记分满9分的，应约谈企业主要负责人。</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（三）抄送上级监管部门。累积记分满12分的，应将检查发现的事故隐患或不符合法律法规情况抄报区应急局。区应急局对其进行执法检查，发现存在安全生产违法行为的，依法依规从重处罚。</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（四）提升下年度监管等级。记分周期内累积记分满12分的，视为安全风险管控和事故隐患排查治理落实不到位企业，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镇应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提高</w:t>
      </w:r>
      <w:r>
        <w:rPr>
          <w:rFonts w:hint="eastAsia" w:ascii="仿宋_GB2312" w:hAnsi="仿宋_GB2312" w:eastAsia="仿宋_GB2312" w:cs="仿宋_GB2312"/>
          <w:color w:val="000000" w:themeColor="text1"/>
          <w:sz w:val="32"/>
          <w:szCs w:val="32"/>
          <w14:textFill>
            <w14:solidFill>
              <w14:schemeClr w14:val="tx1"/>
            </w14:solidFill>
          </w14:textFill>
        </w:rPr>
        <w:t>其下年度安全生产监督监察等级。</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（五）主要负责人安全培训。记分周期内累积记分满12分的，相关单位负责人应参加由区应急局组织的相关安全培训（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镇每年12月拟定名单报区应急局）。</w:t>
      </w:r>
    </w:p>
    <w:p>
      <w:pPr>
        <w:keepNext w:val="0"/>
        <w:keepLines w:val="0"/>
        <w:pageBreakBefore w:val="0"/>
        <w:shd w:val="clear" w:color="auto" w:fill="FFFFFF"/>
        <w:kinsoku/>
        <w:wordWrap/>
        <w:overflowPunct/>
        <w:topLinePunct w:val="0"/>
        <w:bidi w:val="0"/>
        <w:snapToGrid/>
        <w:spacing w:line="540" w:lineRule="exact"/>
        <w:ind w:firstLine="640" w:firstLineChars="200"/>
        <w:textAlignment w:val="auto"/>
        <w:outlineLvl w:val="9"/>
        <w:rPr>
          <w:rFonts w:ascii="仿宋_GB2312" w:hAnsi="仿宋_GB2312" w:eastAsia="仿宋_GB2312" w:cs="仿宋_GB2312"/>
          <w:color w:val="000000" w:themeColor="text1"/>
          <w:spacing w:val="15"/>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（六）安全生产信用不良评判。记分周期内累积记分满18分的，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pacing w:val="15"/>
          <w:sz w:val="32"/>
          <w:szCs w:val="32"/>
          <w14:textFill>
            <w14:solidFill>
              <w14:schemeClr w14:val="tx1"/>
            </w14:solidFill>
          </w14:textFill>
        </w:rPr>
        <w:t>镇在给予企业有关优惠政策或者向企业、个人颁发荣誉性称号时，应将其</w:t>
      </w:r>
      <w:r>
        <w:rPr>
          <w:rFonts w:hint="eastAsia" w:ascii="仿宋_GB2312" w:hAnsi="仿宋_GB2312" w:eastAsia="仿宋_GB2312" w:cs="仿宋_GB2312"/>
          <w:color w:val="000000" w:themeColor="text1"/>
          <w:sz w:val="32"/>
          <w:szCs w:val="32"/>
          <w14:textFill>
            <w14:solidFill>
              <w14:schemeClr w14:val="tx1"/>
            </w14:solidFill>
          </w14:textFill>
        </w:rPr>
        <w:t>安全生产信用不良状况</w:t>
      </w:r>
      <w:r>
        <w:rPr>
          <w:rFonts w:hint="eastAsia" w:ascii="仿宋_GB2312" w:hAnsi="仿宋_GB2312" w:eastAsia="仿宋_GB2312" w:cs="仿宋_GB2312"/>
          <w:color w:val="000000" w:themeColor="text1"/>
          <w:spacing w:val="15"/>
          <w:sz w:val="32"/>
          <w:szCs w:val="32"/>
          <w14:textFill>
            <w14:solidFill>
              <w14:schemeClr w14:val="tx1"/>
            </w14:solidFill>
          </w14:textFill>
        </w:rPr>
        <w:t>作为审慎性参考依据。</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（七）纳入</w:t>
      </w:r>
      <w:r>
        <w:rPr>
          <w:rFonts w:hint="eastAsia" w:ascii="仿宋_GB2312" w:hAnsi="仿宋_GB2312" w:eastAsia="仿宋_GB2312" w:cs="仿宋_GB2312"/>
          <w:color w:val="000000" w:themeColor="text1"/>
          <w:sz w:val="32"/>
          <w:szCs w:val="32"/>
          <w:shd w:val="clear" w:color="auto" w:fill="FFFFFF"/>
          <w:lang w:val="zh-CN"/>
          <w14:textFill>
            <w14:solidFill>
              <w14:schemeClr w14:val="tx1"/>
            </w14:solidFill>
          </w14:textFill>
        </w:rPr>
        <w:t>黑名单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zh-CN"/>
          <w14:textFill>
            <w14:solidFill>
              <w14:schemeClr w14:val="tx1"/>
            </w14:solidFill>
          </w14:textFill>
        </w:rPr>
        <w:t>发现重大生产安全事故隐患不及时整改，或者存在严重违法行为的，应报请有关部门根据国家相关规定和程序将其纳入联合惩戒对象和“黑名单”管理。</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记分程序</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（一）职责。本着“谁检查、谁处理、谁记分”的原则，对符合本办法记分标准的安全生产事故隐患或违法行为，由检查人员进行现场记分；</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（二）取证。</w:t>
      </w:r>
      <w:r>
        <w:rPr>
          <w:rFonts w:hint="eastAsia" w:ascii="仿宋_GB2312" w:hAnsi="仿宋_GB2312" w:eastAsia="仿宋_GB2312" w:cs="仿宋_GB2312"/>
          <w:color w:val="000000" w:themeColor="text1"/>
          <w:sz w:val="32"/>
          <w:szCs w:val="32"/>
          <w14:textFill>
            <w14:solidFill>
              <w14:schemeClr w14:val="tx1"/>
            </w14:solidFill>
          </w14:textFill>
        </w:rPr>
        <w:t>检查人员应对记分事项</w:t>
      </w:r>
      <w:r>
        <w:rPr>
          <w:rFonts w:hint="eastAsia" w:ascii="仿宋_GB2312" w:hAnsi="仿宋_GB2312" w:eastAsia="仿宋_GB2312" w:cs="仿宋_GB2312"/>
          <w:color w:val="000000" w:themeColor="text1"/>
          <w:kern w:val="0"/>
          <w:sz w:val="32"/>
          <w:szCs w:val="32"/>
          <w14:textFill>
            <w14:solidFill>
              <w14:schemeClr w14:val="tx1"/>
            </w14:solidFill>
          </w14:textFill>
        </w:rPr>
        <w:t>作出客观描述并制作《现场检查记录》；</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（三）告知。向企业告知拟作出记分处理的事实、理由；</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申辩。企业对记分有异议的可以在10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个工作</w:t>
      </w:r>
      <w:r>
        <w:rPr>
          <w:rFonts w:hint="eastAsia" w:ascii="仿宋_GB2312" w:hAnsi="仿宋_GB2312" w:eastAsia="仿宋_GB2312" w:cs="仿宋_GB2312"/>
          <w:color w:val="000000" w:themeColor="text1"/>
          <w:sz w:val="32"/>
          <w:szCs w:val="32"/>
          <w14:textFill>
            <w14:solidFill>
              <w14:schemeClr w14:val="tx1"/>
            </w14:solidFill>
          </w14:textFill>
        </w:rPr>
        <w:t>日内提出申辩，检查人员</w:t>
      </w:r>
      <w:r>
        <w:rPr>
          <w:rFonts w:hint="eastAsia" w:ascii="仿宋_GB2312" w:hAnsi="仿宋_GB2312" w:eastAsia="仿宋_GB2312" w:cs="仿宋_GB2312"/>
          <w:color w:val="000000" w:themeColor="text1"/>
          <w:kern w:val="0"/>
          <w:sz w:val="32"/>
          <w:szCs w:val="32"/>
          <w14:textFill>
            <w14:solidFill>
              <w14:schemeClr w14:val="tx1"/>
            </w14:solidFill>
          </w14:textFill>
        </w:rPr>
        <w:t>应听取合理意见</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540" w:lineRule="exact"/>
        <w:ind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（五）统计。对企业记分情况</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kern w:val="0"/>
          <w:sz w:val="32"/>
          <w:szCs w:val="32"/>
          <w14:textFill>
            <w14:solidFill>
              <w14:schemeClr w14:val="tx1"/>
            </w14:solidFill>
          </w14:textFill>
        </w:rPr>
        <w:t>镇安全生产职能部门应当及时进行</w:t>
      </w:r>
      <w:r>
        <w:rPr>
          <w:rFonts w:hint="eastAsia" w:ascii="仿宋_GB2312" w:hAnsi="仿宋_GB2312" w:eastAsia="仿宋_GB2312" w:cs="仿宋_GB2312"/>
          <w:color w:val="000000" w:themeColor="text1"/>
          <w:sz w:val="32"/>
          <w:szCs w:val="32"/>
          <w14:textFill>
            <w14:solidFill>
              <w14:schemeClr w14:val="tx1"/>
            </w14:solidFill>
          </w14:textFill>
        </w:rPr>
        <w:t>登记。</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记分减免</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（一）单次记分减免。企业按时完成整改可以申请单次记分减免，单次记分减免不得超过原记分的50%(取整数)。</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单次记分减免由企业在完成整改后10日内向镇安全生产职能部门书面申请。检查人员进行复查并提出承办意见，由部门负责人批准。</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（二）累积记分减免。安全生产管理取得明显进步的企业可以在记分周期结束前申请累积记分减免，累积记分减免不得超过原累积分的30%(取整数)。</w:t>
      </w:r>
    </w:p>
    <w:p>
      <w:pPr>
        <w:keepNext w:val="0"/>
        <w:keepLines w:val="0"/>
        <w:pageBreakBefore w:val="0"/>
        <w:shd w:val="clear" w:color="auto" w:fill="FFFFFF"/>
        <w:kinsoku/>
        <w:wordWrap/>
        <w:overflowPunct/>
        <w:topLinePunct w:val="0"/>
        <w:bidi w:val="0"/>
        <w:snapToGrid/>
        <w:spacing w:line="540" w:lineRule="exact"/>
        <w:ind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累积积分减免由企业在每年12月向乡镇安全生产职能部门书面申请。检查人员进行核查并提出承办意见，经部门负责人审核、乡镇分管领导批准。</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记分加处</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安全生产事故隐患、违法行为逾期未改正的，不适用第五条记分减免规定，检查人员还应当针对未整改项给予加倍记分。</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记分周期届满时存在上述情况时，相关记分及加处记分转入下一记分周期。</w:t>
      </w:r>
    </w:p>
    <w:p>
      <w:pPr>
        <w:pStyle w:val="4"/>
        <w:keepNext w:val="0"/>
        <w:keepLines w:val="0"/>
        <w:pageBreakBefore w:val="0"/>
        <w:widowControl w:val="0"/>
        <w:numPr>
          <w:ilvl w:val="0"/>
          <w:numId w:val="2"/>
        </w:numPr>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记分周期</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记分周期为12个月，每年1月1日起至12月31日止。周期届满记分清零（适用第六条第二款除外）。</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上报</w:t>
      </w:r>
    </w:p>
    <w:p>
      <w:pPr>
        <w:pStyle w:val="4"/>
        <w:keepNext w:val="0"/>
        <w:keepLines w:val="0"/>
        <w:pageBreakBefore w:val="0"/>
        <w:widowControl w:val="0"/>
        <w:shd w:val="clear" w:color="auto" w:fill="FFFFFF"/>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镇每季首月10日之前向区应急局上报记分情况。</w:t>
      </w:r>
    </w:p>
    <w:p>
      <w:pPr>
        <w:pStyle w:val="4"/>
        <w:keepNext w:val="0"/>
        <w:keepLines w:val="0"/>
        <w:pageBreakBefore w:val="0"/>
        <w:widowControl w:val="0"/>
        <w:kinsoku/>
        <w:wordWrap/>
        <w:overflowPunct/>
        <w:topLinePunct w:val="0"/>
        <w:bidi w:val="0"/>
        <w:snapToGrid/>
        <w:spacing w:before="0" w:beforeAutospacing="0" w:after="0" w:afterAutospacing="0" w:line="540" w:lineRule="exact"/>
        <w:ind w:firstLine="643"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附则</w:t>
      </w:r>
    </w:p>
    <w:p>
      <w:pPr>
        <w:pStyle w:val="4"/>
        <w:keepNext w:val="0"/>
        <w:keepLines w:val="0"/>
        <w:pageBreakBefore w:val="0"/>
        <w:widowControl w:val="0"/>
        <w:kinsoku/>
        <w:wordWrap/>
        <w:overflowPunct/>
        <w:topLinePunct w:val="0"/>
        <w:bidi w:val="0"/>
        <w:snapToGrid/>
        <w:spacing w:before="0" w:beforeAutospacing="0" w:after="0" w:afterAutospacing="0" w:line="540" w:lineRule="exact"/>
        <w:ind w:firstLine="640" w:firstLineChars="200"/>
        <w:jc w:val="both"/>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（一）本办法由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庙镇人民政府</w:t>
      </w:r>
      <w:r>
        <w:rPr>
          <w:rFonts w:hint="eastAsia" w:ascii="仿宋_GB2312" w:hAnsi="仿宋_GB2312" w:eastAsia="仿宋_GB2312" w:cs="仿宋_GB2312"/>
          <w:color w:val="000000" w:themeColor="text1"/>
          <w:sz w:val="32"/>
          <w:szCs w:val="32"/>
          <w14:textFill>
            <w14:solidFill>
              <w14:schemeClr w14:val="tx1"/>
            </w14:solidFill>
          </w14:textFill>
        </w:rPr>
        <w:t>负责解释；</w:t>
      </w:r>
    </w:p>
    <w:p>
      <w:pPr>
        <w:pStyle w:val="4"/>
        <w:keepNext w:val="0"/>
        <w:keepLines w:val="0"/>
        <w:pageBreakBefore w:val="0"/>
        <w:widowControl w:val="0"/>
        <w:kinsoku/>
        <w:wordWrap/>
        <w:overflowPunct/>
        <w:topLinePunct w:val="0"/>
        <w:bidi w:val="0"/>
        <w:snapToGrid/>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（二）本办法自2020年1月1日起施行。</w:t>
      </w:r>
    </w:p>
    <w:p>
      <w:pPr>
        <w:pStyle w:val="4"/>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黑体" w:hAnsi="黑体" w:eastAsia="黑体" w:cs="黑体"/>
          <w:sz w:val="32"/>
          <w:szCs w:val="32"/>
        </w:rPr>
      </w:pPr>
    </w:p>
    <w:p>
      <w:pPr>
        <w:rPr>
          <w:rFonts w:hint="eastAsia" w:eastAsiaTheme="minorEastAsia"/>
          <w:lang w:eastAsia="zh-CN"/>
        </w:rPr>
      </w:pPr>
    </w:p>
    <w:sectPr>
      <w:headerReference r:id="rId3" w:type="default"/>
      <w:footerReference r:id="rId4" w:type="default"/>
      <w:pgSz w:w="12240" w:h="15840"/>
      <w:pgMar w:top="2098" w:right="1474" w:bottom="1984" w:left="15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汉仪小隶书简">
    <w:panose1 w:val="02010600000101010101"/>
    <w:charset w:val="86"/>
    <w:family w:val="auto"/>
    <w:pitch w:val="default"/>
    <w:sig w:usb0="00000001" w:usb1="080E0800" w:usb2="00000002" w:usb3="00000000" w:csb0="00040000" w:csb1="00000000"/>
  </w:font>
  <w:font w:name="汉仪细行楷W">
    <w:panose1 w:val="00020600040101010101"/>
    <w:charset w:val="86"/>
    <w:family w:val="auto"/>
    <w:pitch w:val="default"/>
    <w:sig w:usb0="A00002BF" w:usb1="18EF7CFA" w:usb2="00000016" w:usb3="00000000" w:csb0="0004009F" w:csb1="DFD70000"/>
  </w:font>
  <w:font w:name="汉仪行楷繁">
    <w:panose1 w:val="02010600000101010101"/>
    <w:charset w:val="86"/>
    <w:family w:val="auto"/>
    <w:pitch w:val="default"/>
    <w:sig w:usb0="00000001" w:usb1="080E0800" w:usb2="00000002" w:usb3="00000000" w:csb0="00040000" w:csb1="00000000"/>
  </w:font>
  <w:font w:name="金梅毛行書">
    <w:panose1 w:val="02010609000101010101"/>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Adobe 黑体 Std R">
    <w:panose1 w:val="020B0400000000000000"/>
    <w:charset w:val="86"/>
    <w:family w:val="auto"/>
    <w:pitch w:val="default"/>
    <w:sig w:usb0="00000001" w:usb1="0A0F1810" w:usb2="00000016" w:usb3="00000000" w:csb0="00060007" w:csb1="00000000"/>
  </w:font>
  <w:font w:name="【团子】请叫我天然萌 微博@团团团团团团团儿">
    <w:panose1 w:val="02010601040101010101"/>
    <w:charset w:val="86"/>
    <w:family w:val="auto"/>
    <w:pitch w:val="default"/>
    <w:sig w:usb0="F7FFAEFF" w:usb1="F9DFFFFF" w:usb2="0017FDFF" w:usb3="00000000" w:csb0="E03F01FF" w:csb1="B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BD8A0"/>
    <w:multiLevelType w:val="singleLevel"/>
    <w:tmpl w:val="BBBBD8A0"/>
    <w:lvl w:ilvl="0" w:tentative="0">
      <w:start w:val="2"/>
      <w:numFmt w:val="chineseCounting"/>
      <w:suff w:val="space"/>
      <w:lvlText w:val="第%1条"/>
      <w:lvlJc w:val="left"/>
      <w:rPr>
        <w:rFonts w:hint="eastAsia"/>
      </w:rPr>
    </w:lvl>
  </w:abstractNum>
  <w:abstractNum w:abstractNumId="1">
    <w:nsid w:val="DBFDA1DD"/>
    <w:multiLevelType w:val="singleLevel"/>
    <w:tmpl w:val="DBFDA1D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D165B9"/>
    <w:rsid w:val="41DD4D05"/>
    <w:rsid w:val="46A518CC"/>
    <w:rsid w:val="498B322B"/>
    <w:rsid w:val="62B43F0A"/>
    <w:rsid w:val="690126B6"/>
    <w:rsid w:val="731A1D41"/>
    <w:rsid w:val="7CAE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NormalCharacter"/>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2020-05-14T01:39:00Z</dcterms:created>
  <dc:creator>djcl</dc:creator>
  <cp:lastModifiedBy>djcl</cp:lastModifiedBy>
  <cp:lastPrinted>2020-05-18T02:29:00Z</cp:lastPrinted>
  <dcterms:modified xsi:type="dcterms:W3CDTF">2020-05-25T03:07:11Z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