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关于中兴镇2022年财政决算和</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2023年上半年财政预算执行情况的报告</w:t>
      </w:r>
    </w:p>
    <w:p>
      <w:pPr>
        <w:spacing w:line="560" w:lineRule="exact"/>
        <w:jc w:val="center"/>
        <w:rPr>
          <w:sz w:val="32"/>
          <w:szCs w:val="32"/>
        </w:rPr>
      </w:pPr>
      <w:r>
        <w:rPr>
          <w:rFonts w:hint="eastAsia" w:ascii="楷体_GB2312" w:hAnsi="楷体_GB2312" w:eastAsia="楷体_GB2312" w:cs="楷体_GB2312"/>
          <w:spacing w:val="-23"/>
          <w:w w:val="95"/>
          <w:sz w:val="32"/>
          <w:szCs w:val="32"/>
        </w:rPr>
        <w:t>——2023年7月2</w:t>
      </w:r>
      <w:r>
        <w:rPr>
          <w:rFonts w:hint="default" w:ascii="楷体_GB2312" w:hAnsi="楷体_GB2312" w:eastAsia="楷体_GB2312" w:cs="楷体_GB2312"/>
          <w:spacing w:val="-23"/>
          <w:w w:val="95"/>
          <w:sz w:val="32"/>
          <w:szCs w:val="32"/>
          <w:lang w:val="en"/>
        </w:rPr>
        <w:t>8</w:t>
      </w:r>
      <w:r>
        <w:rPr>
          <w:rFonts w:hint="eastAsia" w:ascii="楷体_GB2312" w:hAnsi="楷体_GB2312" w:eastAsia="楷体_GB2312" w:cs="楷体_GB2312"/>
          <w:spacing w:val="-23"/>
          <w:w w:val="95"/>
          <w:sz w:val="32"/>
          <w:szCs w:val="32"/>
        </w:rPr>
        <w:t>日在中兴镇第</w:t>
      </w:r>
      <w:r>
        <w:rPr>
          <w:rFonts w:hint="eastAsia" w:ascii="楷体_GB2312" w:hAnsi="楷体_GB2312" w:eastAsia="楷体_GB2312" w:cs="楷体_GB2312"/>
          <w:spacing w:val="-23"/>
          <w:w w:val="95"/>
          <w:sz w:val="32"/>
          <w:szCs w:val="32"/>
          <w:lang w:eastAsia="zh-CN"/>
        </w:rPr>
        <w:t>二</w:t>
      </w:r>
      <w:r>
        <w:rPr>
          <w:rFonts w:hint="eastAsia" w:ascii="楷体_GB2312" w:hAnsi="楷体_GB2312" w:eastAsia="楷体_GB2312" w:cs="楷体_GB2312"/>
          <w:spacing w:val="-23"/>
          <w:w w:val="95"/>
          <w:sz w:val="32"/>
          <w:szCs w:val="32"/>
        </w:rPr>
        <w:t>届人民代表大会第</w:t>
      </w:r>
      <w:r>
        <w:rPr>
          <w:rFonts w:hint="eastAsia" w:ascii="楷体_GB2312" w:hAnsi="楷体_GB2312" w:eastAsia="楷体_GB2312" w:cs="楷体_GB2312"/>
          <w:spacing w:val="-23"/>
          <w:w w:val="95"/>
          <w:sz w:val="32"/>
          <w:szCs w:val="32"/>
          <w:lang w:eastAsia="zh-CN"/>
        </w:rPr>
        <w:t>五</w:t>
      </w:r>
      <w:r>
        <w:rPr>
          <w:rFonts w:hint="eastAsia" w:ascii="楷体_GB2312" w:hAnsi="楷体_GB2312" w:eastAsia="楷体_GB2312" w:cs="楷体_GB2312"/>
          <w:spacing w:val="-23"/>
          <w:w w:val="95"/>
          <w:sz w:val="32"/>
          <w:szCs w:val="32"/>
        </w:rPr>
        <w:t>次</w:t>
      </w:r>
      <w:r>
        <w:rPr>
          <w:rFonts w:hint="eastAsia" w:ascii="楷体_GB2312" w:hAnsi="楷体_GB2312" w:eastAsia="楷体_GB2312" w:cs="楷体_GB2312"/>
          <w:sz w:val="32"/>
          <w:szCs w:val="32"/>
        </w:rPr>
        <w:t>会议上</w:t>
      </w:r>
    </w:p>
    <w:p>
      <w:pPr>
        <w:spacing w:line="560" w:lineRule="exact"/>
        <w:rPr>
          <w:rFonts w:ascii="仿宋_GB2312" w:hAnsi="仿宋" w:eastAsia="仿宋_GB2312"/>
          <w:sz w:val="32"/>
          <w:szCs w:val="32"/>
        </w:rPr>
      </w:pPr>
    </w:p>
    <w:p>
      <w:pPr>
        <w:spacing w:line="560" w:lineRule="exact"/>
        <w:rPr>
          <w:rFonts w:ascii="仿宋_GB2312" w:hAnsi="仿宋" w:eastAsia="仿宋_GB2312"/>
          <w:sz w:val="32"/>
          <w:szCs w:val="32"/>
        </w:rPr>
      </w:pPr>
      <w:r>
        <w:rPr>
          <w:rFonts w:hint="eastAsia" w:ascii="仿宋_GB2312" w:hAnsi="仿宋" w:eastAsia="仿宋_GB2312"/>
          <w:sz w:val="32"/>
          <w:szCs w:val="32"/>
        </w:rPr>
        <w:t>各位代表：</w:t>
      </w:r>
    </w:p>
    <w:p>
      <w:pPr>
        <w:spacing w:line="560" w:lineRule="exact"/>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受中兴镇人民政府委托，由我向大会报告中兴镇</w:t>
      </w:r>
      <w:r>
        <w:rPr>
          <w:rFonts w:ascii="仿宋_GB2312" w:hAnsi="仿宋" w:eastAsia="仿宋_GB2312"/>
          <w:sz w:val="32"/>
          <w:szCs w:val="32"/>
        </w:rPr>
        <w:t>2022</w:t>
      </w:r>
      <w:r>
        <w:rPr>
          <w:rFonts w:hint="eastAsia" w:ascii="仿宋_GB2312" w:hAnsi="仿宋" w:eastAsia="仿宋_GB2312"/>
          <w:sz w:val="32"/>
          <w:szCs w:val="32"/>
        </w:rPr>
        <w:t>年决算及</w:t>
      </w:r>
      <w:r>
        <w:rPr>
          <w:rFonts w:ascii="仿宋_GB2312" w:hAnsi="仿宋" w:eastAsia="仿宋_GB2312"/>
          <w:sz w:val="32"/>
          <w:szCs w:val="32"/>
        </w:rPr>
        <w:t>2023</w:t>
      </w:r>
      <w:r>
        <w:rPr>
          <w:rFonts w:hint="eastAsia" w:ascii="仿宋_GB2312" w:hAnsi="仿宋" w:eastAsia="仿宋_GB2312"/>
          <w:sz w:val="32"/>
          <w:szCs w:val="32"/>
        </w:rPr>
        <w:t>年上半年财政预算执行情况，请予审议，</w:t>
      </w:r>
      <w:r>
        <w:rPr>
          <w:rFonts w:hint="eastAsia" w:ascii="仿宋_GB2312" w:hAnsi="仿宋" w:eastAsia="仿宋_GB2312" w:cs="仿宋"/>
          <w:sz w:val="32"/>
          <w:szCs w:val="32"/>
        </w:rPr>
        <w:t>并请各位列席代表提出宝贵意见。</w:t>
      </w:r>
    </w:p>
    <w:p>
      <w:pPr>
        <w:pStyle w:val="2"/>
        <w:spacing w:line="560" w:lineRule="exact"/>
      </w:pPr>
    </w:p>
    <w:p>
      <w:pPr>
        <w:spacing w:line="560" w:lineRule="exact"/>
        <w:jc w:val="center"/>
        <w:rPr>
          <w:rFonts w:ascii="仿宋_GB2312" w:hAnsi="楷体" w:eastAsia="仿宋_GB2312"/>
          <w:sz w:val="32"/>
          <w:szCs w:val="32"/>
        </w:rPr>
      </w:pPr>
      <w:r>
        <w:rPr>
          <w:rFonts w:hint="eastAsia" w:ascii="黑体" w:hAnsi="黑体" w:eastAsia="黑体"/>
          <w:sz w:val="32"/>
          <w:szCs w:val="32"/>
        </w:rPr>
        <w:t>一、</w:t>
      </w:r>
      <w:r>
        <w:rPr>
          <w:rFonts w:ascii="黑体" w:hAnsi="黑体" w:eastAsia="黑体"/>
          <w:sz w:val="32"/>
          <w:szCs w:val="32"/>
        </w:rPr>
        <w:t>2022</w:t>
      </w:r>
      <w:r>
        <w:rPr>
          <w:rFonts w:hint="eastAsia" w:ascii="黑体" w:hAnsi="黑体" w:eastAsia="黑体"/>
          <w:sz w:val="32"/>
          <w:szCs w:val="32"/>
        </w:rPr>
        <w:t>年财政决算情况</w:t>
      </w:r>
    </w:p>
    <w:p>
      <w:pPr>
        <w:adjustRightInd w:val="0"/>
        <w:snapToGrid w:val="0"/>
        <w:spacing w:line="560" w:lineRule="exact"/>
        <w:ind w:firstLine="640" w:firstLineChars="200"/>
        <w:jc w:val="left"/>
        <w:rPr>
          <w:rFonts w:ascii="仿宋_GB2312" w:hAnsi="楷体" w:eastAsia="仿宋_GB2312"/>
          <w:sz w:val="32"/>
          <w:szCs w:val="32"/>
        </w:rPr>
      </w:pPr>
    </w:p>
    <w:p>
      <w:pPr>
        <w:adjustRightInd w:val="0"/>
        <w:snapToGrid w:val="0"/>
        <w:spacing w:line="560" w:lineRule="exact"/>
        <w:ind w:firstLine="640" w:firstLineChars="200"/>
        <w:jc w:val="left"/>
        <w:rPr>
          <w:sz w:val="32"/>
          <w:szCs w:val="32"/>
        </w:rPr>
      </w:pPr>
      <w:r>
        <w:rPr>
          <w:rFonts w:hint="eastAsia" w:ascii="仿宋_GB2312" w:hAnsi="楷体" w:eastAsia="仿宋_GB2312"/>
          <w:sz w:val="32"/>
          <w:szCs w:val="32"/>
        </w:rPr>
        <w:t>2022年，</w:t>
      </w:r>
      <w:r>
        <w:rPr>
          <w:rFonts w:hint="eastAsia" w:ascii="仿宋_GB2312" w:hAnsi="楷体" w:eastAsia="仿宋_GB2312"/>
          <w:sz w:val="32"/>
          <w:szCs w:val="32"/>
          <w:lang w:val="zh-CN"/>
        </w:rPr>
        <w:t>在区委、区政府及镇党委的正确领导下，在镇人大的监督支持下</w:t>
      </w:r>
      <w:r>
        <w:rPr>
          <w:rFonts w:ascii="仿宋_GB2312" w:hAnsi="楷体" w:eastAsia="仿宋_GB2312"/>
          <w:sz w:val="32"/>
          <w:szCs w:val="32"/>
        </w:rPr>
        <w:t>，</w:t>
      </w:r>
      <w:r>
        <w:rPr>
          <w:rFonts w:hint="eastAsia" w:ascii="仿宋_GB2312" w:hAnsi="楷体" w:eastAsia="仿宋_GB2312"/>
          <w:sz w:val="32"/>
          <w:szCs w:val="32"/>
        </w:rPr>
        <w:t>坚持以</w:t>
      </w:r>
      <w:r>
        <w:rPr>
          <w:rFonts w:ascii="仿宋_GB2312" w:hAnsi="楷体" w:eastAsia="仿宋_GB2312"/>
          <w:sz w:val="32"/>
          <w:szCs w:val="32"/>
        </w:rPr>
        <w:t>习近平新时代中国特色社会主义思想</w:t>
      </w:r>
      <w:r>
        <w:rPr>
          <w:rFonts w:hint="eastAsia" w:ascii="仿宋_GB2312" w:hAnsi="楷体" w:eastAsia="仿宋_GB2312"/>
          <w:sz w:val="32"/>
          <w:szCs w:val="32"/>
        </w:rPr>
        <w:t>为指引</w:t>
      </w:r>
      <w:r>
        <w:rPr>
          <w:rFonts w:ascii="仿宋_GB2312" w:hAnsi="楷体" w:eastAsia="仿宋_GB2312"/>
          <w:sz w:val="32"/>
          <w:szCs w:val="32"/>
        </w:rPr>
        <w:t>，</w:t>
      </w:r>
      <w:r>
        <w:rPr>
          <w:rFonts w:hint="eastAsia" w:ascii="仿宋_GB2312" w:hAnsi="楷体" w:eastAsia="仿宋_GB2312"/>
          <w:sz w:val="32"/>
          <w:szCs w:val="32"/>
        </w:rPr>
        <w:t>全面贯彻落实党的十九届历次全会和二十大精神，</w:t>
      </w:r>
      <w:r>
        <w:rPr>
          <w:rFonts w:hint="eastAsia" w:ascii="仿宋_GB2312" w:hAnsi="仿宋_GB2312" w:eastAsia="仿宋_GB2312" w:cs="仿宋_GB2312"/>
          <w:sz w:val="32"/>
          <w:szCs w:val="32"/>
        </w:rPr>
        <w:t>紧紧围绕中兴镇中心目标任务，认真落实镇党委的各项战略部署，坚持统筹兼顾、突出重点、提质增效，</w:t>
      </w:r>
      <w:r>
        <w:rPr>
          <w:rFonts w:ascii="仿宋_GB2312" w:hAnsi="楷体" w:eastAsia="仿宋_GB2312"/>
          <w:sz w:val="32"/>
          <w:szCs w:val="32"/>
        </w:rPr>
        <w:t>较好地完成</w:t>
      </w:r>
      <w:r>
        <w:rPr>
          <w:rFonts w:hint="eastAsia" w:ascii="仿宋_GB2312" w:hAnsi="楷体" w:eastAsia="仿宋_GB2312"/>
          <w:sz w:val="32"/>
          <w:szCs w:val="32"/>
        </w:rPr>
        <w:t>了全年的财政决算任务</w:t>
      </w:r>
      <w:r>
        <w:rPr>
          <w:rFonts w:ascii="仿宋_GB2312" w:hAnsi="微软雅黑" w:eastAsia="仿宋_GB2312" w:cs="仿宋_GB2312"/>
          <w:color w:val="333333"/>
          <w:sz w:val="32"/>
          <w:szCs w:val="32"/>
          <w:shd w:val="clear" w:color="auto" w:fill="FFFFFF"/>
        </w:rPr>
        <w:t>。</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现将</w:t>
      </w:r>
      <w:r>
        <w:rPr>
          <w:rFonts w:ascii="仿宋_GB2312" w:hAnsi="仿宋" w:eastAsia="仿宋_GB2312"/>
          <w:sz w:val="32"/>
          <w:szCs w:val="32"/>
        </w:rPr>
        <w:t>2022</w:t>
      </w:r>
      <w:r>
        <w:rPr>
          <w:rFonts w:hint="eastAsia" w:ascii="仿宋_GB2312" w:hAnsi="仿宋" w:eastAsia="仿宋_GB2312"/>
          <w:sz w:val="32"/>
          <w:szCs w:val="32"/>
        </w:rPr>
        <w:t>年财政决算情况汇报如下：</w:t>
      </w:r>
    </w:p>
    <w:p>
      <w:pPr>
        <w:autoSpaceDE w:val="0"/>
        <w:autoSpaceDN w:val="0"/>
        <w:adjustRightInd w:val="0"/>
        <w:spacing w:line="560" w:lineRule="exact"/>
        <w:ind w:firstLine="640" w:firstLineChars="20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lang w:val="zh-CN"/>
        </w:rPr>
        <w:t>（一）镇本级财政收入决算情况</w:t>
      </w:r>
    </w:p>
    <w:p>
      <w:pPr>
        <w:snapToGrid w:val="0"/>
        <w:spacing w:line="560" w:lineRule="exact"/>
        <w:ind w:firstLine="640" w:firstLineChars="200"/>
        <w:rPr>
          <w:rFonts w:ascii="仿宋_GB2312" w:hAnsi="仿宋_GB2312" w:eastAsia="仿宋_GB2312" w:cs="仿宋_GB2312"/>
          <w:kern w:val="0"/>
          <w:sz w:val="32"/>
          <w:szCs w:val="32"/>
          <w:lang w:val="zh-CN"/>
        </w:rPr>
      </w:pPr>
      <w:r>
        <w:rPr>
          <w:rFonts w:hint="eastAsia" w:ascii="仿宋_GB2312" w:hAnsi="仿宋" w:eastAsia="仿宋_GB2312"/>
          <w:sz w:val="32"/>
          <w:szCs w:val="32"/>
        </w:rPr>
        <w:t>2022年镇本级</w:t>
      </w:r>
      <w:r>
        <w:rPr>
          <w:rFonts w:hint="eastAsia" w:ascii="仿宋_GB2312" w:hAnsi="仿宋_GB2312" w:eastAsia="仿宋_GB2312" w:cs="仿宋_GB2312"/>
          <w:kern w:val="0"/>
          <w:sz w:val="32"/>
          <w:szCs w:val="32"/>
          <w:lang w:val="zh-CN"/>
        </w:rPr>
        <w:t>一般公共预算收入</w:t>
      </w:r>
      <w:r>
        <w:rPr>
          <w:rFonts w:hint="eastAsia" w:ascii="仿宋_GB2312" w:hAnsi="仿宋" w:eastAsia="仿宋_GB2312"/>
          <w:sz w:val="32"/>
          <w:szCs w:val="32"/>
        </w:rPr>
        <w:t>28700万元,完成调整预算的100%，</w:t>
      </w:r>
      <w:r>
        <w:rPr>
          <w:rFonts w:hint="eastAsia" w:ascii="仿宋_GB2312" w:hAnsi="仿宋_GB2312" w:eastAsia="仿宋_GB2312" w:cs="仿宋_GB2312"/>
          <w:kern w:val="0"/>
          <w:sz w:val="32"/>
          <w:szCs w:val="32"/>
          <w:lang w:val="zh-CN"/>
        </w:rPr>
        <w:t>其中：税收体制分成收入</w:t>
      </w:r>
      <w:r>
        <w:rPr>
          <w:rFonts w:ascii="仿宋_GB2312" w:hAnsi="仿宋_GB2312" w:eastAsia="仿宋_GB2312" w:cs="仿宋_GB2312"/>
          <w:kern w:val="0"/>
          <w:sz w:val="32"/>
          <w:szCs w:val="32"/>
        </w:rPr>
        <w:t>2010</w:t>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val="zh-CN"/>
        </w:rPr>
        <w:t>万元，一般性转移支付收入8598万元。</w:t>
      </w:r>
    </w:p>
    <w:p>
      <w:pPr>
        <w:autoSpaceDE w:val="0"/>
        <w:autoSpaceDN w:val="0"/>
        <w:adjustRightInd w:val="0"/>
        <w:spacing w:line="560" w:lineRule="exact"/>
        <w:ind w:firstLine="640" w:firstLineChars="20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lang w:val="zh-CN"/>
        </w:rPr>
        <w:t>（二）镇本级财政支出决算情况</w:t>
      </w:r>
    </w:p>
    <w:p>
      <w:pPr>
        <w:spacing w:line="560" w:lineRule="exact"/>
        <w:ind w:firstLine="640" w:firstLineChars="200"/>
        <w:rPr>
          <w:rFonts w:ascii="仿宋_GB2312" w:hAnsi="黑体" w:eastAsia="仿宋_GB2312"/>
        </w:rPr>
      </w:pPr>
      <w:r>
        <w:rPr>
          <w:rFonts w:hint="eastAsia" w:ascii="仿宋_GB2312" w:hAnsi="黑体" w:eastAsia="仿宋_GB2312"/>
          <w:sz w:val="32"/>
          <w:szCs w:val="32"/>
        </w:rPr>
        <w:t>2022年镇本级</w:t>
      </w:r>
      <w:r>
        <w:rPr>
          <w:rFonts w:hint="eastAsia" w:ascii="仿宋_GB2312" w:hAnsi="黑体" w:eastAsia="仿宋_GB2312" w:cs="仿宋_GB2312"/>
          <w:kern w:val="0"/>
          <w:sz w:val="32"/>
          <w:szCs w:val="32"/>
          <w:lang w:val="zh-CN"/>
        </w:rPr>
        <w:t>一般公共预算支出</w:t>
      </w:r>
      <w:r>
        <w:rPr>
          <w:rFonts w:hint="eastAsia" w:ascii="仿宋_GB2312" w:hAnsi="仿宋" w:eastAsia="仿宋_GB2312"/>
          <w:sz w:val="32"/>
          <w:szCs w:val="32"/>
        </w:rPr>
        <w:t>28700万元</w:t>
      </w:r>
      <w:r>
        <w:rPr>
          <w:rFonts w:hint="eastAsia" w:ascii="仿宋_GB2312" w:hAnsi="黑体" w:eastAsia="仿宋_GB2312" w:cs="仿宋_GB2312"/>
          <w:kern w:val="0"/>
          <w:sz w:val="32"/>
          <w:szCs w:val="32"/>
          <w:lang w:val="zh-CN"/>
        </w:rPr>
        <w:t>，</w:t>
      </w:r>
      <w:r>
        <w:rPr>
          <w:rFonts w:hint="eastAsia" w:ascii="仿宋_GB2312" w:hAnsi="黑体" w:eastAsia="仿宋_GB2312"/>
          <w:sz w:val="32"/>
          <w:szCs w:val="32"/>
        </w:rPr>
        <w:t>其中：执行金额26401.43万元，完成调整预算后的91.99%；安排预算稳定调节基金2298.57万元结转至2023年预算。具体支出项目执行情况如下：</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1.一般公共服务支出2605.98万元，占镇本级执行支出的9.87%。</w:t>
      </w:r>
      <w:r>
        <w:rPr>
          <w:rFonts w:hint="eastAsia" w:ascii="仿宋_GB2312" w:hAnsi="仿宋" w:eastAsia="仿宋_GB2312"/>
          <w:sz w:val="32"/>
          <w:szCs w:val="32"/>
        </w:rPr>
        <w:t>主要用于</w:t>
      </w:r>
      <w:r>
        <w:rPr>
          <w:rFonts w:hint="eastAsia" w:ascii="仿宋_GB2312" w:hAnsi="仿宋_GB2312" w:eastAsia="仿宋_GB2312" w:cs="仿宋_GB2312"/>
          <w:kern w:val="0"/>
          <w:sz w:val="32"/>
          <w:szCs w:val="32"/>
          <w:lang w:val="zh-CN"/>
        </w:rPr>
        <w:t>机关人员经费，</w:t>
      </w:r>
      <w:r>
        <w:rPr>
          <w:rFonts w:hint="eastAsia" w:ascii="仿宋_GB2312" w:hAnsi="仿宋_GB2312" w:eastAsia="仿宋_GB2312" w:cs="仿宋_GB2312"/>
          <w:sz w:val="32"/>
          <w:szCs w:val="32"/>
        </w:rPr>
        <w:t>行政管理及后勤保障经费，</w:t>
      </w:r>
      <w:r>
        <w:rPr>
          <w:rFonts w:hint="eastAsia" w:ascii="仿宋_GB2312" w:eastAsia="仿宋_GB2312" w:cs="仿宋_GB2312"/>
          <w:kern w:val="0"/>
          <w:sz w:val="32"/>
          <w:szCs w:val="32"/>
          <w:lang w:val="zh-CN"/>
        </w:rPr>
        <w:t>财政管理事务经费，</w:t>
      </w:r>
      <w:r>
        <w:rPr>
          <w:rFonts w:hint="eastAsia" w:ascii="仿宋_GB2312" w:hAnsi="仿宋_GB2312" w:eastAsia="仿宋_GB2312" w:cs="仿宋_GB2312"/>
          <w:sz w:val="32"/>
          <w:szCs w:val="32"/>
        </w:rPr>
        <w:t>社区党群服务中心</w:t>
      </w:r>
      <w:r>
        <w:rPr>
          <w:rFonts w:hint="eastAsia" w:ascii="仿宋" w:eastAsia="仿宋" w:cs="仿宋"/>
          <w:kern w:val="0"/>
          <w:sz w:val="32"/>
          <w:szCs w:val="32"/>
          <w:lang w:val="zh-CN"/>
        </w:rPr>
        <w:t>经费，</w:t>
      </w:r>
      <w:r>
        <w:rPr>
          <w:rFonts w:hint="eastAsia" w:ascii="仿宋_GB2312" w:hAnsi="仿宋_GB2312" w:eastAsia="仿宋_GB2312" w:cs="仿宋_GB2312"/>
          <w:sz w:val="32"/>
          <w:szCs w:val="32"/>
        </w:rPr>
        <w:t>经济发展服务中心</w:t>
      </w:r>
      <w:r>
        <w:rPr>
          <w:rFonts w:hint="eastAsia" w:ascii="仿宋" w:eastAsia="仿宋" w:cs="仿宋"/>
          <w:kern w:val="0"/>
          <w:sz w:val="32"/>
          <w:szCs w:val="32"/>
          <w:lang w:val="zh-CN"/>
        </w:rPr>
        <w:t>经费，</w:t>
      </w:r>
      <w:r>
        <w:rPr>
          <w:rFonts w:hint="eastAsia" w:ascii="仿宋_GB2312" w:hAnsi="仿宋" w:eastAsia="仿宋_GB2312"/>
          <w:sz w:val="32"/>
          <w:szCs w:val="32"/>
        </w:rPr>
        <w:t>人大代表履职经费，</w:t>
      </w:r>
      <w:r>
        <w:rPr>
          <w:rFonts w:hint="eastAsia" w:ascii="仿宋_GB2312" w:hAnsi="仿宋_GB2312" w:eastAsia="仿宋_GB2312" w:cs="仿宋_GB2312"/>
          <w:sz w:val="32"/>
          <w:szCs w:val="32"/>
        </w:rPr>
        <w:t>社会事业办经费，组织部门经费</w:t>
      </w:r>
      <w:r>
        <w:rPr>
          <w:rFonts w:hint="eastAsia" w:ascii="仿宋_GB2312" w:hAnsi="仿宋" w:eastAsia="仿宋_GB2312"/>
          <w:sz w:val="32"/>
          <w:szCs w:val="32"/>
        </w:rPr>
        <w:t>等支出。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2.教育支出25.63万元，占镇本级执行支出的0.09%。</w:t>
      </w:r>
      <w:r>
        <w:rPr>
          <w:rFonts w:hint="eastAsia" w:ascii="仿宋_GB2312" w:hAnsi="仿宋" w:eastAsia="仿宋_GB2312"/>
          <w:sz w:val="32"/>
          <w:szCs w:val="32"/>
        </w:rPr>
        <w:t>主要用于教委相关工作</w:t>
      </w:r>
      <w:r>
        <w:rPr>
          <w:rFonts w:hint="eastAsia" w:ascii="仿宋_GB2312" w:hAnsi="仿宋_GB2312" w:eastAsia="仿宋_GB2312" w:cs="仿宋_GB2312"/>
          <w:sz w:val="32"/>
          <w:szCs w:val="32"/>
        </w:rPr>
        <w:t>经费</w:t>
      </w:r>
      <w:r>
        <w:rPr>
          <w:rFonts w:hint="eastAsia" w:ascii="仿宋_GB2312" w:hAnsi="仿宋" w:eastAsia="仿宋_GB2312"/>
          <w:sz w:val="32"/>
          <w:szCs w:val="32"/>
        </w:rPr>
        <w:t>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3.科学技术支出239万元，占镇本级执行支出的0.91%</w:t>
      </w:r>
      <w:r>
        <w:rPr>
          <w:rFonts w:hint="eastAsia" w:ascii="仿宋_GB2312" w:hAnsi="仿宋" w:eastAsia="仿宋_GB2312"/>
          <w:sz w:val="32"/>
          <w:szCs w:val="32"/>
        </w:rPr>
        <w:t>。主要用于企业扶持资金支出。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4.社会保障和就业支出5680.9万元，占镇本级执行支出的21.52%。</w:t>
      </w:r>
      <w:r>
        <w:rPr>
          <w:rFonts w:hint="eastAsia" w:ascii="仿宋_GB2312" w:hAnsi="仿宋_GB2312" w:eastAsia="仿宋_GB2312" w:cs="仿宋_GB2312"/>
          <w:sz w:val="32"/>
          <w:szCs w:val="32"/>
        </w:rPr>
        <w:t>主要用于社区事务受理服务中心</w:t>
      </w:r>
      <w:r>
        <w:rPr>
          <w:rFonts w:hint="eastAsia" w:ascii="仿宋_GB2312" w:hAnsi="仿宋_GB2312" w:eastAsia="仿宋_GB2312" w:cs="仿宋_GB2312"/>
          <w:kern w:val="0"/>
          <w:sz w:val="32"/>
          <w:szCs w:val="32"/>
          <w:lang w:val="zh-CN"/>
        </w:rPr>
        <w:t>经费</w:t>
      </w:r>
      <w:r>
        <w:rPr>
          <w:rFonts w:hint="eastAsia" w:ascii="仿宋_GB2312" w:hAnsi="仿宋_GB2312" w:eastAsia="仿宋_GB2312" w:cs="仿宋_GB2312"/>
          <w:sz w:val="32"/>
          <w:szCs w:val="32"/>
        </w:rPr>
        <w:t>，社区工作者经费，行政及事业单位养老保险缴费，社会协管服务社及生态养护社经费，</w:t>
      </w:r>
      <w:r>
        <w:rPr>
          <w:rFonts w:hint="eastAsia" w:ascii="仿宋_GB2312" w:hAnsi="仿宋" w:eastAsia="仿宋_GB2312"/>
          <w:sz w:val="32"/>
          <w:szCs w:val="32"/>
        </w:rPr>
        <w:t>综合为老服务中心托管经费，</w:t>
      </w:r>
      <w:r>
        <w:rPr>
          <w:rFonts w:hint="eastAsia" w:ascii="仿宋_GB2312" w:hAnsi="仿宋_GB2312" w:eastAsia="仿宋_GB2312" w:cs="仿宋_GB2312"/>
          <w:sz w:val="32"/>
          <w:szCs w:val="32"/>
        </w:rPr>
        <w:t>稳定就业岗位补贴，老年综合津贴，重残无业补助，团体人身意外险和财产保险经费等支出。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 w:eastAsia="仿宋_GB2312"/>
          <w:b/>
          <w:sz w:val="32"/>
          <w:szCs w:val="32"/>
        </w:rPr>
        <w:t>5.健康卫生支出1874.79万元，占镇本级执行支出7.1%。</w:t>
      </w:r>
      <w:r>
        <w:rPr>
          <w:rFonts w:hint="eastAsia" w:ascii="仿宋_GB2312" w:hAnsi="仿宋_GB2312" w:eastAsia="仿宋_GB2312" w:cs="仿宋_GB2312"/>
          <w:sz w:val="32"/>
          <w:szCs w:val="32"/>
        </w:rPr>
        <w:t>主要用于行政及事业单位医疗缴费支出，新冠疫情防疫经费支出。</w:t>
      </w:r>
    </w:p>
    <w:p>
      <w:pPr>
        <w:pStyle w:val="9"/>
        <w:ind w:firstLine="643" w:firstLineChars="200"/>
        <w:jc w:val="left"/>
        <w:rPr>
          <w:rFonts w:ascii="仿宋_GB2312" w:hAnsi="仿宋" w:eastAsia="仿宋_GB2312"/>
          <w:sz w:val="32"/>
          <w:szCs w:val="32"/>
        </w:rPr>
      </w:pPr>
      <w:r>
        <w:rPr>
          <w:rFonts w:hint="eastAsia" w:ascii="仿宋_GB2312" w:hAnsi="仿宋" w:eastAsia="仿宋_GB2312"/>
          <w:b/>
          <w:sz w:val="32"/>
          <w:szCs w:val="32"/>
        </w:rPr>
        <w:t>6.节能环保支出4243.11万元，占镇本级执行支出的16.07%。</w:t>
      </w:r>
      <w:r>
        <w:rPr>
          <w:rFonts w:hint="eastAsia" w:ascii="仿宋_GB2312" w:hAnsi="仿宋_GB2312" w:eastAsia="仿宋_GB2312" w:cs="仿宋_GB2312"/>
          <w:sz w:val="32"/>
          <w:szCs w:val="32"/>
        </w:rPr>
        <w:t>主要用于生态保护和市容环境事务所经费，村居垃圾分类以奖代补经费，两网融合点委托管理经费，农业秸秆处置经费，环境整治经费</w:t>
      </w:r>
      <w:r>
        <w:rPr>
          <w:rFonts w:hint="eastAsia" w:ascii="仿宋_GB2312" w:hAnsi="仿宋" w:eastAsia="仿宋_GB2312"/>
          <w:sz w:val="32"/>
          <w:szCs w:val="32"/>
        </w:rPr>
        <w:t>，企业扶持资金等支出。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7.城乡社区事务支出4250.58万元，占镇本级执行支出的16.1%。</w:t>
      </w:r>
      <w:r>
        <w:rPr>
          <w:rFonts w:hint="eastAsia" w:ascii="仿宋_GB2312" w:hAnsi="仿宋_GB2312" w:eastAsia="仿宋_GB2312" w:cs="仿宋_GB2312"/>
          <w:sz w:val="32"/>
          <w:szCs w:val="32"/>
        </w:rPr>
        <w:t>主要用于综合行政执法队、城市运行管理中心和城市建设管理事务中心经费，维稳、综治、信访相关经费，2022年</w:t>
      </w:r>
      <w:r>
        <w:rPr>
          <w:rFonts w:hint="eastAsia" w:ascii="仿宋_GB2312" w:hAnsi="仿宋" w:eastAsia="仿宋_GB2312"/>
          <w:sz w:val="32"/>
          <w:szCs w:val="32"/>
        </w:rPr>
        <w:t>生活垃圾分类收运处置委托服务经费，2022</w:t>
      </w:r>
      <w:r>
        <w:rPr>
          <w:rFonts w:hint="eastAsia" w:ascii="仿宋_GB2312" w:hAnsi="仿宋_GB2312" w:eastAsia="仿宋_GB2312" w:cs="仿宋_GB2312"/>
          <w:sz w:val="32"/>
          <w:szCs w:val="32"/>
        </w:rPr>
        <w:t>年中兴镇市场委托包干管理经费，</w:t>
      </w:r>
      <w:r>
        <w:rPr>
          <w:rFonts w:hint="eastAsia" w:ascii="仿宋_GB2312" w:hAnsi="仿宋" w:eastAsia="仿宋_GB2312"/>
          <w:sz w:val="32"/>
          <w:szCs w:val="32"/>
        </w:rPr>
        <w:t>民宿扶持经费，五棚整治镇配套经费，2022年</w:t>
      </w:r>
      <w:r>
        <w:rPr>
          <w:rFonts w:hint="eastAsia" w:ascii="仿宋_GB2312" w:hAnsi="仿宋_GB2312" w:eastAsia="仿宋_GB2312" w:cs="仿宋_GB2312"/>
          <w:sz w:val="32"/>
          <w:szCs w:val="32"/>
        </w:rPr>
        <w:t>景观廊道土地流转镇配套经费</w:t>
      </w:r>
      <w:r>
        <w:rPr>
          <w:rFonts w:hint="eastAsia" w:ascii="仿宋_GB2312" w:hAnsi="仿宋" w:eastAsia="仿宋_GB2312"/>
          <w:sz w:val="32"/>
          <w:szCs w:val="32"/>
        </w:rPr>
        <w:t>，2022年度公益林老林养护经费，消防救援站装修改造工程经费，</w:t>
      </w:r>
      <w:r>
        <w:rPr>
          <w:rFonts w:hint="eastAsia" w:ascii="仿宋_GB2312" w:hAnsi="仿宋_GB2312" w:eastAsia="仿宋_GB2312" w:cs="仿宋_GB2312"/>
          <w:sz w:val="32"/>
          <w:szCs w:val="32"/>
        </w:rPr>
        <w:t>广福小区工作经费等</w:t>
      </w:r>
      <w:r>
        <w:rPr>
          <w:rFonts w:hint="eastAsia" w:ascii="仿宋_GB2312" w:hAnsi="仿宋" w:eastAsia="仿宋_GB2312"/>
          <w:sz w:val="32"/>
          <w:szCs w:val="32"/>
        </w:rPr>
        <w:t>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8.农林水事务支出1065.3万元，占镇本级执行支出的4.04%。</w:t>
      </w:r>
      <w:r>
        <w:rPr>
          <w:rFonts w:hint="eastAsia" w:ascii="仿宋_GB2312" w:hAnsi="仿宋_GB2312" w:eastAsia="仿宋_GB2312" w:cs="仿宋_GB2312"/>
          <w:sz w:val="32"/>
          <w:szCs w:val="32"/>
        </w:rPr>
        <w:t>主要用于农业综合技术推广服务中心和水务管理所经费，</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2022年镇级河道市场化养护经费，农村生活污水养护镇配套经费</w:t>
      </w:r>
      <w:r>
        <w:rPr>
          <w:rFonts w:hint="eastAsia" w:ascii="仿宋_GB2312" w:hAnsi="仿宋" w:eastAsia="仿宋_GB2312"/>
          <w:sz w:val="32"/>
          <w:szCs w:val="32"/>
        </w:rPr>
        <w:t>，</w:t>
      </w:r>
      <w:r>
        <w:rPr>
          <w:rFonts w:hint="eastAsia" w:ascii="仿宋_GB2312" w:hAnsi="仿宋_GB2312" w:eastAsia="仿宋_GB2312" w:cs="仿宋_GB2312"/>
          <w:sz w:val="32"/>
          <w:szCs w:val="32"/>
        </w:rPr>
        <w:t>村级组织保障经费等支出。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9.交通运输支出5457.57万元，占镇本级执行支出的20.67%。</w:t>
      </w:r>
      <w:r>
        <w:rPr>
          <w:rFonts w:hint="eastAsia" w:ascii="仿宋_GB2312" w:hAnsi="仿宋" w:eastAsia="仿宋_GB2312"/>
          <w:sz w:val="32"/>
          <w:szCs w:val="32"/>
        </w:rPr>
        <w:t>主要用于企业扶持资金支出。</w:t>
      </w:r>
    </w:p>
    <w:p>
      <w:pPr>
        <w:spacing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10.资源勘探工业信息等支出461.43万元，占镇本级执行支出的1.75%。</w:t>
      </w:r>
      <w:r>
        <w:rPr>
          <w:rFonts w:hint="eastAsia" w:ascii="仿宋_GB2312" w:hAnsi="仿宋" w:eastAsia="仿宋_GB2312"/>
          <w:sz w:val="32"/>
          <w:szCs w:val="32"/>
        </w:rPr>
        <w:t>主要用于企业扶持资金支出。</w:t>
      </w:r>
    </w:p>
    <w:p>
      <w:pPr>
        <w:pStyle w:val="2"/>
        <w:spacing w:line="560" w:lineRule="exact"/>
        <w:ind w:firstLine="643" w:firstLineChars="200"/>
        <w:rPr>
          <w:rFonts w:ascii="仿宋_GB2312" w:hAnsi="仿宋_GB2312" w:eastAsia="仿宋_GB2312" w:cs="仿宋_GB2312"/>
          <w:sz w:val="32"/>
          <w:szCs w:val="32"/>
        </w:rPr>
      </w:pPr>
      <w:r>
        <w:rPr>
          <w:rFonts w:hint="eastAsia" w:ascii="仿宋_GB2312" w:hAnsi="仿宋" w:eastAsia="仿宋_GB2312"/>
          <w:b/>
          <w:sz w:val="32"/>
          <w:szCs w:val="32"/>
        </w:rPr>
        <w:t>11.住房保障支出497.14万元，占镇本级执行支出的1.88%。</w:t>
      </w:r>
      <w:r>
        <w:rPr>
          <w:rFonts w:hint="eastAsia" w:ascii="仿宋_GB2312" w:hAnsi="仿宋_GB2312" w:eastAsia="仿宋_GB2312" w:cs="仿宋_GB2312"/>
          <w:sz w:val="32"/>
          <w:szCs w:val="32"/>
        </w:rPr>
        <w:t>主要用于行政及事业单位人员住房公积金，行政单位的购房补贴支出。</w:t>
      </w:r>
    </w:p>
    <w:p>
      <w:pPr>
        <w:pStyle w:val="2"/>
        <w:spacing w:line="560" w:lineRule="exact"/>
        <w:ind w:firstLine="640" w:firstLineChars="200"/>
        <w:rPr>
          <w:rFonts w:ascii="楷体_GB2312" w:hAnsi="仿宋_GB2312" w:eastAsia="楷体_GB2312" w:cs="仿宋_GB2312"/>
          <w:sz w:val="32"/>
          <w:szCs w:val="32"/>
        </w:rPr>
      </w:pPr>
      <w:r>
        <w:rPr>
          <w:rFonts w:hint="eastAsia" w:ascii="楷体_GB2312" w:hAnsi="仿宋_GB2312" w:eastAsia="楷体_GB2312" w:cs="仿宋_GB2312"/>
          <w:sz w:val="32"/>
          <w:szCs w:val="32"/>
        </w:rPr>
        <w:t>（三）区对乡镇专项转移支付收入情况</w:t>
      </w:r>
    </w:p>
    <w:p>
      <w:pPr>
        <w:pStyle w:val="2"/>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2022年专项转移支付收入</w:t>
      </w:r>
      <w:r>
        <w:rPr>
          <w:rFonts w:ascii="仿宋_GB2312" w:hAnsi="仿宋" w:eastAsia="仿宋_GB2312"/>
          <w:sz w:val="32"/>
          <w:szCs w:val="32"/>
        </w:rPr>
        <w:t>37174.06</w:t>
      </w:r>
      <w:r>
        <w:rPr>
          <w:rFonts w:hint="eastAsia" w:ascii="仿宋_GB2312" w:hAnsi="仿宋" w:eastAsia="仿宋_GB2312"/>
          <w:sz w:val="32"/>
          <w:szCs w:val="32"/>
        </w:rPr>
        <w:t>万元，其中：</w:t>
      </w:r>
      <w:r>
        <w:rPr>
          <w:rFonts w:hint="eastAsia" w:ascii="仿宋_GB2312" w:hAnsi="黑体" w:eastAsia="仿宋_GB2312"/>
          <w:bCs/>
          <w:sz w:val="32"/>
          <w:szCs w:val="32"/>
        </w:rPr>
        <w:t>2022年下达一般公共预算专项转移支付收入</w:t>
      </w:r>
      <w:r>
        <w:rPr>
          <w:rFonts w:ascii="仿宋_GB2312" w:hAnsi="黑体" w:eastAsia="仿宋_GB2312"/>
          <w:bCs/>
          <w:sz w:val="32"/>
          <w:szCs w:val="32"/>
        </w:rPr>
        <w:t>18759.78</w:t>
      </w:r>
      <w:r>
        <w:rPr>
          <w:rFonts w:hint="eastAsia" w:ascii="仿宋_GB2312" w:hAnsi="仿宋" w:eastAsia="仿宋_GB2312"/>
          <w:sz w:val="32"/>
          <w:szCs w:val="32"/>
        </w:rPr>
        <w:t>万元，2021年结转一般公共预算专项转移支付收入4435.46万元，</w:t>
      </w:r>
      <w:r>
        <w:rPr>
          <w:rFonts w:hint="eastAsia" w:ascii="仿宋_GB2312" w:hAnsi="黑体" w:eastAsia="仿宋_GB2312"/>
          <w:bCs/>
          <w:sz w:val="32"/>
          <w:szCs w:val="32"/>
        </w:rPr>
        <w:t>2022年下达</w:t>
      </w:r>
      <w:r>
        <w:rPr>
          <w:rFonts w:hint="eastAsia" w:ascii="仿宋_GB2312" w:hAnsi="仿宋" w:eastAsia="仿宋_GB2312"/>
          <w:sz w:val="32"/>
          <w:szCs w:val="32"/>
        </w:rPr>
        <w:t>政府性基金专项转移支付收入</w:t>
      </w:r>
      <w:r>
        <w:rPr>
          <w:rFonts w:ascii="仿宋_GB2312" w:hAnsi="仿宋" w:eastAsia="仿宋_GB2312"/>
          <w:sz w:val="32"/>
          <w:szCs w:val="32"/>
        </w:rPr>
        <w:t>13978.82</w:t>
      </w:r>
      <w:r>
        <w:rPr>
          <w:rFonts w:hint="eastAsia" w:ascii="仿宋_GB2312" w:hAnsi="仿宋" w:eastAsia="仿宋_GB2312"/>
          <w:sz w:val="32"/>
          <w:szCs w:val="32"/>
        </w:rPr>
        <w:t>万元。</w:t>
      </w:r>
    </w:p>
    <w:p>
      <w:pPr>
        <w:pStyle w:val="2"/>
        <w:spacing w:line="560" w:lineRule="exact"/>
        <w:ind w:firstLine="640" w:firstLineChars="200"/>
        <w:rPr>
          <w:rFonts w:ascii="楷体_GB2312" w:hAnsi="仿宋_GB2312" w:eastAsia="楷体_GB2312" w:cs="仿宋_GB2312"/>
          <w:sz w:val="32"/>
          <w:szCs w:val="32"/>
        </w:rPr>
      </w:pPr>
      <w:r>
        <w:rPr>
          <w:rFonts w:hint="eastAsia" w:ascii="楷体_GB2312" w:hAnsi="仿宋_GB2312" w:eastAsia="楷体_GB2312" w:cs="仿宋_GB2312"/>
          <w:sz w:val="32"/>
          <w:szCs w:val="32"/>
        </w:rPr>
        <w:t>（四）区对乡镇专项转移支付执行情况</w:t>
      </w:r>
    </w:p>
    <w:p>
      <w:pPr>
        <w:spacing w:line="560" w:lineRule="exact"/>
        <w:ind w:firstLine="480" w:firstLineChars="150"/>
        <w:rPr>
          <w:rFonts w:ascii="仿宋_GB2312" w:hAnsi="黑体" w:eastAsia="仿宋_GB2312"/>
          <w:bCs/>
          <w:sz w:val="32"/>
          <w:szCs w:val="32"/>
        </w:rPr>
      </w:pPr>
      <w:r>
        <w:rPr>
          <w:rFonts w:hint="eastAsia" w:ascii="仿宋_GB2312" w:hAnsi="黑体" w:eastAsia="仿宋_GB2312"/>
          <w:bCs/>
          <w:sz w:val="32"/>
          <w:szCs w:val="32"/>
        </w:rPr>
        <w:t>2022年专项转移支付执行</w:t>
      </w:r>
      <w:r>
        <w:rPr>
          <w:rFonts w:ascii="仿宋_GB2312" w:hAnsi="仿宋" w:eastAsia="仿宋_GB2312"/>
          <w:sz w:val="32"/>
          <w:szCs w:val="32"/>
        </w:rPr>
        <w:t>19130.</w:t>
      </w:r>
      <w:r>
        <w:rPr>
          <w:rFonts w:hint="eastAsia" w:ascii="仿宋_GB2312" w:hAnsi="仿宋" w:eastAsia="仿宋_GB2312"/>
          <w:sz w:val="32"/>
          <w:szCs w:val="32"/>
        </w:rPr>
        <w:t>59</w:t>
      </w:r>
      <w:r>
        <w:rPr>
          <w:rFonts w:hint="eastAsia" w:ascii="仿宋_GB2312" w:hAnsi="黑体" w:eastAsia="仿宋_GB2312"/>
          <w:bCs/>
          <w:sz w:val="32"/>
          <w:szCs w:val="32"/>
        </w:rPr>
        <w:t>万元，其中：一般公共预算专项转移支付支出</w:t>
      </w:r>
      <w:r>
        <w:rPr>
          <w:rFonts w:hint="eastAsia" w:ascii="仿宋_GB2312" w:hAnsi="仿宋" w:eastAsia="仿宋_GB2312"/>
          <w:sz w:val="32"/>
          <w:szCs w:val="32"/>
        </w:rPr>
        <w:t>17552.53</w:t>
      </w:r>
      <w:r>
        <w:rPr>
          <w:rFonts w:hint="eastAsia" w:ascii="仿宋_GB2312" w:hAnsi="黑体" w:eastAsia="仿宋_GB2312"/>
          <w:bCs/>
          <w:sz w:val="32"/>
          <w:szCs w:val="32"/>
        </w:rPr>
        <w:t>万元，政府性基金专项转移支付支出1578.06万元。结转下年度一般公共预算专项转移支付</w:t>
      </w:r>
      <w:r>
        <w:rPr>
          <w:rFonts w:hint="eastAsia" w:ascii="仿宋_GB2312" w:hAnsi="仿宋" w:eastAsia="仿宋_GB2312"/>
          <w:sz w:val="32"/>
          <w:szCs w:val="32"/>
        </w:rPr>
        <w:t>5642.71</w:t>
      </w:r>
      <w:r>
        <w:rPr>
          <w:rFonts w:hint="eastAsia" w:ascii="仿宋_GB2312" w:hAnsi="黑体" w:eastAsia="仿宋_GB2312"/>
          <w:bCs/>
          <w:sz w:val="32"/>
          <w:szCs w:val="32"/>
        </w:rPr>
        <w:t>万元，结转下年度政府性基金专项转移支付12400.76万元。</w:t>
      </w:r>
    </w:p>
    <w:p>
      <w:pPr>
        <w:pStyle w:val="2"/>
        <w:spacing w:line="560" w:lineRule="exact"/>
        <w:ind w:firstLine="640" w:firstLineChars="200"/>
        <w:rPr>
          <w:rFonts w:ascii="仿宋_GB2312" w:hAnsi="黑体" w:eastAsia="仿宋_GB2312"/>
          <w:bCs/>
          <w:sz w:val="32"/>
          <w:szCs w:val="32"/>
        </w:rPr>
      </w:pPr>
      <w:r>
        <w:rPr>
          <w:rFonts w:hint="eastAsia" w:ascii="仿宋_GB2312" w:hAnsi="黑体" w:eastAsia="仿宋_GB2312"/>
          <w:bCs/>
          <w:sz w:val="32"/>
          <w:szCs w:val="32"/>
        </w:rPr>
        <w:t>1.一般公共预算专项转移支付支出，主要用于水利建设专项补助，崇明绿岛田园设施菜田建设项目，中小河道长效管理，生态廊道建设工程，公益林土地流转费，残疾人事业专项补助，居家养老服务专项补助</w:t>
      </w:r>
      <w:r>
        <w:rPr>
          <w:rFonts w:hint="eastAsia" w:ascii="仿宋_GB2312" w:hAnsi="仿宋" w:eastAsia="仿宋_GB2312"/>
          <w:sz w:val="32"/>
          <w:szCs w:val="32"/>
        </w:rPr>
        <w:t>等支出。</w:t>
      </w:r>
    </w:p>
    <w:p>
      <w:pPr>
        <w:spacing w:line="560" w:lineRule="exact"/>
        <w:ind w:firstLine="480" w:firstLineChars="150"/>
        <w:rPr>
          <w:rFonts w:ascii="仿宋_GB2312" w:hAnsi="黑体" w:eastAsia="仿宋_GB2312"/>
          <w:bCs/>
          <w:sz w:val="32"/>
          <w:szCs w:val="32"/>
        </w:rPr>
      </w:pPr>
      <w:r>
        <w:rPr>
          <w:rFonts w:hint="eastAsia" w:ascii="仿宋_GB2312" w:hAnsi="黑体" w:eastAsia="仿宋_GB2312"/>
          <w:bCs/>
          <w:sz w:val="32"/>
          <w:szCs w:val="32"/>
        </w:rPr>
        <w:t>2.政府性基金专项转移支付支出，主要用于</w:t>
      </w:r>
      <w:r>
        <w:rPr>
          <w:rFonts w:hint="eastAsia" w:ascii="仿宋_GB2312" w:hAnsi="仿宋" w:eastAsia="仿宋_GB2312"/>
          <w:sz w:val="32"/>
          <w:szCs w:val="32"/>
        </w:rPr>
        <w:t>2022年度中央财政大中型水库移民补贴，2021中兴镇爱国村区级乡村振兴示范村建设工程，富圩村道路修复及保塌工程，2019年中兴镇断头河整治工程，2021年崇明生态大道绿道新建工程等支出。</w:t>
      </w:r>
    </w:p>
    <w:p>
      <w:pPr>
        <w:spacing w:line="560" w:lineRule="exact"/>
        <w:jc w:val="center"/>
        <w:rPr>
          <w:rFonts w:ascii="黑体" w:hAnsi="黑体" w:eastAsia="黑体" w:cs="宋体"/>
          <w:bCs/>
          <w:sz w:val="32"/>
          <w:szCs w:val="32"/>
        </w:rPr>
      </w:pPr>
    </w:p>
    <w:p>
      <w:pPr>
        <w:pStyle w:val="2"/>
      </w:pPr>
    </w:p>
    <w:p>
      <w:pPr>
        <w:spacing w:line="560" w:lineRule="exact"/>
        <w:jc w:val="center"/>
        <w:rPr>
          <w:rFonts w:ascii="黑体" w:hAnsi="黑体" w:eastAsia="黑体" w:cs="宋体"/>
          <w:bCs/>
          <w:sz w:val="32"/>
          <w:szCs w:val="32"/>
        </w:rPr>
      </w:pPr>
      <w:r>
        <w:rPr>
          <w:rFonts w:hint="eastAsia" w:ascii="黑体" w:hAnsi="黑体" w:eastAsia="黑体" w:cs="宋体"/>
          <w:bCs/>
          <w:sz w:val="32"/>
          <w:szCs w:val="32"/>
        </w:rPr>
        <w:t>二、2023年上半年财政预算执行情况</w:t>
      </w:r>
    </w:p>
    <w:p>
      <w:pPr>
        <w:autoSpaceDE w:val="0"/>
        <w:autoSpaceDN w:val="0"/>
        <w:adjustRightInd w:val="0"/>
        <w:spacing w:line="560" w:lineRule="exact"/>
        <w:ind w:firstLine="640" w:firstLineChars="200"/>
        <w:jc w:val="left"/>
        <w:rPr>
          <w:rFonts w:ascii="仿宋_GB2312" w:hAnsi="Calibri" w:eastAsia="仿宋_GB2312"/>
          <w:sz w:val="32"/>
          <w:szCs w:val="32"/>
        </w:rPr>
      </w:pPr>
    </w:p>
    <w:p>
      <w:pPr>
        <w:autoSpaceDE w:val="0"/>
        <w:autoSpaceDN w:val="0"/>
        <w:adjustRightInd w:val="0"/>
        <w:spacing w:line="560" w:lineRule="exact"/>
        <w:ind w:firstLine="640" w:firstLineChars="200"/>
        <w:jc w:val="left"/>
        <w:rPr>
          <w:rFonts w:ascii="仿宋_GB2312" w:hAnsi="仿宋" w:eastAsia="仿宋_GB2312"/>
          <w:sz w:val="32"/>
          <w:szCs w:val="32"/>
        </w:rPr>
      </w:pPr>
      <w:r>
        <w:rPr>
          <w:rFonts w:hint="eastAsia" w:ascii="仿宋_GB2312" w:hAnsi="Calibri" w:eastAsia="仿宋_GB2312"/>
          <w:sz w:val="32"/>
          <w:szCs w:val="32"/>
        </w:rPr>
        <w:t>上半年，在镇党委的坚强领导下，在镇人大的监督支持下，我们坚持按照镇第二届人民代表大会第四次会议审议批准的预算，同时根据区财政局今年上半年新增专项转移支付项目资金的使用规定，认真落实各项政策措施，</w:t>
      </w:r>
      <w:r>
        <w:rPr>
          <w:rFonts w:hint="eastAsia" w:ascii="仿宋_GB2312" w:hAnsi="仿宋" w:eastAsia="仿宋_GB2312"/>
          <w:sz w:val="32"/>
          <w:szCs w:val="32"/>
        </w:rPr>
        <w:t>进一步在“提质增效”“更可持续”上下功夫，提高财政资金的配置效率和使用效益，为“</w:t>
      </w:r>
      <w:r>
        <w:rPr>
          <w:rFonts w:hint="eastAsia" w:ascii="仿宋_GB2312" w:hAnsi="仿宋_GB2312" w:eastAsia="仿宋_GB2312" w:cs="仿宋_GB2312"/>
          <w:bCs/>
          <w:sz w:val="32"/>
          <w:szCs w:val="32"/>
        </w:rPr>
        <w:t>景美、业旺、人和”的美丽中兴</w:t>
      </w:r>
      <w:r>
        <w:rPr>
          <w:rFonts w:hint="eastAsia" w:ascii="仿宋_GB2312" w:hAnsi="仿宋" w:eastAsia="仿宋_GB2312"/>
          <w:sz w:val="32"/>
          <w:szCs w:val="32"/>
        </w:rPr>
        <w:t>建设提供坚强保障。</w:t>
      </w:r>
    </w:p>
    <w:p>
      <w:pPr>
        <w:autoSpaceDE w:val="0"/>
        <w:autoSpaceDN w:val="0"/>
        <w:adjustRightInd w:val="0"/>
        <w:spacing w:line="560" w:lineRule="exact"/>
        <w:ind w:firstLine="640" w:firstLineChars="20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lang w:val="zh-CN"/>
        </w:rPr>
        <w:t>（一）镇本级财政预算收入</w:t>
      </w:r>
    </w:p>
    <w:p>
      <w:pPr>
        <w:pStyle w:val="2"/>
        <w:spacing w:line="560" w:lineRule="exact"/>
        <w:ind w:firstLine="480" w:firstLineChars="15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zh-CN"/>
        </w:rPr>
        <w:t>2023年镇本级财政总收入为</w:t>
      </w:r>
      <w:r>
        <w:rPr>
          <w:rFonts w:ascii="仿宋_GB2312" w:hAnsi="仿宋_GB2312" w:eastAsia="仿宋_GB2312" w:cs="仿宋_GB2312"/>
          <w:kern w:val="0"/>
          <w:sz w:val="32"/>
          <w:szCs w:val="32"/>
          <w:lang w:val="zh-CN"/>
        </w:rPr>
        <w:t>28798.5</w:t>
      </w:r>
      <w:r>
        <w:rPr>
          <w:rFonts w:hint="eastAsia" w:ascii="仿宋_GB2312" w:hAnsi="仿宋_GB2312" w:eastAsia="仿宋_GB2312" w:cs="仿宋_GB2312"/>
          <w:kern w:val="0"/>
          <w:sz w:val="32"/>
          <w:szCs w:val="32"/>
          <w:lang w:val="zh-CN"/>
        </w:rPr>
        <w:t>7万元，其中：动用稳定调节基金收入2298.57万元（2022年预算结余）。</w:t>
      </w:r>
    </w:p>
    <w:p>
      <w:pPr>
        <w:snapToGrid w:val="0"/>
        <w:spacing w:line="560" w:lineRule="exact"/>
        <w:ind w:firstLine="480" w:firstLineChars="150"/>
        <w:rPr>
          <w:rFonts w:ascii="仿宋_GB2312" w:hAnsi="仿宋_GB2312" w:eastAsia="仿宋_GB2312" w:cs="仿宋_GB2312"/>
          <w:kern w:val="0"/>
          <w:sz w:val="32"/>
          <w:szCs w:val="32"/>
          <w:lang w:val="zh-CN"/>
        </w:rPr>
      </w:pPr>
      <w:r>
        <w:rPr>
          <w:rFonts w:hint="eastAsia" w:ascii="仿宋_GB2312" w:hAnsi="仿宋_GB2312" w:eastAsia="仿宋_GB2312" w:cs="仿宋_GB2312"/>
          <w:kern w:val="0"/>
          <w:sz w:val="32"/>
          <w:szCs w:val="32"/>
          <w:lang w:val="zh-CN"/>
        </w:rPr>
        <w:t>镇本级一般公共预算收入</w:t>
      </w:r>
      <w:r>
        <w:rPr>
          <w:rFonts w:hint="eastAsia" w:ascii="仿宋_GB2312" w:hAnsi="仿宋_GB2312" w:eastAsia="仿宋_GB2312" w:cs="仿宋_GB2312"/>
          <w:kern w:val="0"/>
          <w:sz w:val="32"/>
          <w:szCs w:val="32"/>
        </w:rPr>
        <w:t>26500万</w:t>
      </w:r>
      <w:r>
        <w:rPr>
          <w:rFonts w:hint="eastAsia" w:ascii="仿宋_GB2312" w:hAnsi="仿宋_GB2312" w:eastAsia="仿宋_GB2312" w:cs="仿宋_GB2312"/>
          <w:sz w:val="32"/>
          <w:szCs w:val="32"/>
        </w:rPr>
        <w:t>元，</w:t>
      </w:r>
      <w:r>
        <w:rPr>
          <w:rFonts w:hint="eastAsia" w:ascii="仿宋_GB2312" w:hAnsi="仿宋_GB2312" w:eastAsia="仿宋_GB2312" w:cs="仿宋_GB2312"/>
          <w:kern w:val="0"/>
          <w:sz w:val="32"/>
          <w:szCs w:val="32"/>
          <w:lang w:val="zh-CN"/>
        </w:rPr>
        <w:t>其中：税收体制分成收入</w:t>
      </w:r>
      <w:r>
        <w:rPr>
          <w:rFonts w:ascii="仿宋_GB2312" w:hAnsi="仿宋_GB2312" w:eastAsia="仿宋_GB2312" w:cs="仿宋_GB2312"/>
          <w:kern w:val="0"/>
          <w:sz w:val="32"/>
          <w:szCs w:val="32"/>
        </w:rPr>
        <w:t>1790</w:t>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val="zh-CN"/>
        </w:rPr>
        <w:t>万元，一般性转移支付收入8598万元。</w:t>
      </w:r>
    </w:p>
    <w:p>
      <w:pPr>
        <w:autoSpaceDE w:val="0"/>
        <w:autoSpaceDN w:val="0"/>
        <w:adjustRightInd w:val="0"/>
        <w:spacing w:line="560" w:lineRule="exact"/>
        <w:ind w:firstLine="480" w:firstLineChars="15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rPr>
        <w:t>（</w:t>
      </w:r>
      <w:r>
        <w:rPr>
          <w:rFonts w:hint="eastAsia" w:ascii="楷体_GB2312" w:hAnsi="楷体_GB2312" w:eastAsia="楷体_GB2312" w:cs="楷体_GB2312"/>
          <w:kern w:val="0"/>
          <w:sz w:val="32"/>
          <w:szCs w:val="32"/>
          <w:lang w:val="zh-CN"/>
        </w:rPr>
        <w:t>二）镇本级财政预算支出执行情况</w:t>
      </w:r>
    </w:p>
    <w:p>
      <w:pPr>
        <w:spacing w:line="560" w:lineRule="exact"/>
        <w:ind w:firstLine="640" w:firstLineChars="200"/>
        <w:rPr>
          <w:rFonts w:ascii="仿宋_GB2312" w:hAnsi="仿宋_GB2312" w:eastAsia="仿宋_GB2312" w:cs="仿宋_GB2312"/>
          <w:kern w:val="0"/>
          <w:sz w:val="32"/>
          <w:szCs w:val="32"/>
          <w:lang w:val="zh-CN"/>
        </w:rPr>
      </w:pPr>
      <w:r>
        <w:rPr>
          <w:rFonts w:hint="eastAsia" w:ascii="仿宋_GB2312" w:hAnsi="仿宋_GB2312" w:eastAsia="仿宋_GB2312" w:cs="仿宋_GB2312"/>
          <w:kern w:val="0"/>
          <w:sz w:val="32"/>
          <w:szCs w:val="32"/>
          <w:lang w:val="zh-CN"/>
        </w:rPr>
        <w:t>2023年上半年，镇本级一般公共预算支出16673.56万元，完成镇级本级预算支出的57.90 %。具体支出如下：</w:t>
      </w:r>
    </w:p>
    <w:p>
      <w:pPr>
        <w:spacing w:line="560" w:lineRule="exact"/>
        <w:ind w:firstLine="643" w:firstLineChars="200"/>
        <w:rPr>
          <w:rFonts w:ascii="仿宋_GB2312" w:hAnsi="仿宋" w:eastAsia="仿宋_GB2312"/>
          <w:sz w:val="32"/>
          <w:szCs w:val="32"/>
        </w:rPr>
      </w:pPr>
      <w:r>
        <w:rPr>
          <w:rFonts w:hint="eastAsia" w:ascii="仿宋_GB2312" w:hAnsi="仿宋_GB2312" w:eastAsia="仿宋_GB2312" w:cs="仿宋_GB2312"/>
          <w:b/>
          <w:sz w:val="32"/>
          <w:szCs w:val="32"/>
        </w:rPr>
        <w:t>1.一般公共服务支出年初预算3304.04万元，已执行1200.22万元</w:t>
      </w:r>
      <w:r>
        <w:rPr>
          <w:rFonts w:hint="eastAsia" w:ascii="仿宋_GB2312" w:hAnsi="仿宋_GB2312" w:eastAsia="仿宋_GB2312" w:cs="仿宋_GB2312"/>
          <w:b/>
          <w:kern w:val="0"/>
          <w:sz w:val="32"/>
          <w:szCs w:val="32"/>
          <w:lang w:val="zh-CN"/>
        </w:rPr>
        <w:t>，执行率为</w:t>
      </w:r>
      <w:r>
        <w:rPr>
          <w:rFonts w:hint="eastAsia" w:ascii="仿宋_GB2312" w:hAnsi="仿宋_GB2312" w:eastAsia="仿宋_GB2312" w:cs="仿宋_GB2312"/>
          <w:b/>
          <w:kern w:val="0"/>
          <w:sz w:val="32"/>
          <w:szCs w:val="32"/>
        </w:rPr>
        <w:t>36.33</w:t>
      </w:r>
      <w:r>
        <w:rPr>
          <w:rFonts w:hint="eastAsia" w:ascii="仿宋_GB2312" w:hAnsi="仿宋_GB2312" w:eastAsia="仿宋_GB2312" w:cs="仿宋_GB2312"/>
          <w:b/>
          <w:kern w:val="0"/>
          <w:sz w:val="32"/>
          <w:szCs w:val="32"/>
          <w:lang w:val="zh-CN"/>
        </w:rPr>
        <w:t>%</w:t>
      </w:r>
      <w:r>
        <w:rPr>
          <w:rFonts w:hint="eastAsia" w:ascii="仿宋_GB2312" w:hAnsi="仿宋_GB2312" w:eastAsia="仿宋_GB2312" w:cs="仿宋_GB2312"/>
          <w:b/>
          <w:sz w:val="32"/>
          <w:szCs w:val="32"/>
        </w:rPr>
        <w:t>。</w:t>
      </w:r>
      <w:r>
        <w:rPr>
          <w:rFonts w:hint="eastAsia" w:ascii="仿宋_GB2312" w:hAnsi="仿宋" w:eastAsia="仿宋_GB2312"/>
          <w:sz w:val="32"/>
          <w:szCs w:val="32"/>
        </w:rPr>
        <w:t>主要用于</w:t>
      </w:r>
      <w:r>
        <w:rPr>
          <w:rFonts w:hint="eastAsia" w:ascii="仿宋_GB2312" w:hAnsi="仿宋_GB2312" w:eastAsia="仿宋_GB2312" w:cs="仿宋_GB2312"/>
          <w:kern w:val="0"/>
          <w:sz w:val="32"/>
          <w:szCs w:val="32"/>
          <w:lang w:val="zh-CN"/>
        </w:rPr>
        <w:t>机关人员经费，</w:t>
      </w:r>
      <w:r>
        <w:rPr>
          <w:rFonts w:hint="eastAsia" w:ascii="仿宋_GB2312" w:hAnsi="仿宋_GB2312" w:eastAsia="仿宋_GB2312" w:cs="仿宋_GB2312"/>
          <w:sz w:val="32"/>
          <w:szCs w:val="32"/>
        </w:rPr>
        <w:t>行政管理及后勤保障经费，</w:t>
      </w:r>
      <w:r>
        <w:rPr>
          <w:rFonts w:hint="eastAsia" w:ascii="仿宋_GB2312" w:eastAsia="仿宋_GB2312" w:cs="仿宋_GB2312"/>
          <w:kern w:val="0"/>
          <w:sz w:val="32"/>
          <w:szCs w:val="32"/>
          <w:lang w:val="zh-CN"/>
        </w:rPr>
        <w:t>财政管理事务经费，</w:t>
      </w:r>
      <w:r>
        <w:rPr>
          <w:rFonts w:hint="eastAsia" w:ascii="仿宋_GB2312" w:hAnsi="仿宋_GB2312" w:eastAsia="仿宋_GB2312" w:cs="仿宋_GB2312"/>
          <w:sz w:val="32"/>
          <w:szCs w:val="32"/>
        </w:rPr>
        <w:t>社区党群服务中心</w:t>
      </w:r>
      <w:r>
        <w:rPr>
          <w:rFonts w:hint="eastAsia" w:ascii="仿宋" w:eastAsia="仿宋" w:cs="仿宋"/>
          <w:kern w:val="0"/>
          <w:sz w:val="32"/>
          <w:szCs w:val="32"/>
          <w:lang w:val="zh-CN"/>
        </w:rPr>
        <w:t>经费，</w:t>
      </w:r>
      <w:r>
        <w:rPr>
          <w:rFonts w:hint="eastAsia" w:ascii="仿宋_GB2312" w:hAnsi="仿宋_GB2312" w:eastAsia="仿宋_GB2312" w:cs="仿宋_GB2312"/>
          <w:sz w:val="32"/>
          <w:szCs w:val="32"/>
        </w:rPr>
        <w:t>经济发展服务中心</w:t>
      </w:r>
      <w:r>
        <w:rPr>
          <w:rFonts w:hint="eastAsia" w:ascii="仿宋" w:eastAsia="仿宋" w:cs="仿宋"/>
          <w:kern w:val="0"/>
          <w:sz w:val="32"/>
          <w:szCs w:val="32"/>
          <w:lang w:val="zh-CN"/>
        </w:rPr>
        <w:t>经费，</w:t>
      </w:r>
      <w:r>
        <w:rPr>
          <w:rFonts w:hint="eastAsia" w:ascii="仿宋_GB2312" w:hAnsi="仿宋" w:eastAsia="仿宋_GB2312"/>
          <w:sz w:val="32"/>
          <w:szCs w:val="32"/>
        </w:rPr>
        <w:t>人大工作经费，</w:t>
      </w:r>
      <w:r>
        <w:rPr>
          <w:rFonts w:hint="eastAsia" w:ascii="仿宋_GB2312" w:hAnsi="仿宋_GB2312" w:eastAsia="仿宋_GB2312" w:cs="仿宋_GB2312"/>
          <w:sz w:val="32"/>
          <w:szCs w:val="32"/>
        </w:rPr>
        <w:t>社会事业办经费，组织部门经费</w:t>
      </w:r>
      <w:r>
        <w:rPr>
          <w:rFonts w:hint="eastAsia" w:ascii="仿宋_GB2312" w:hAnsi="仿宋" w:eastAsia="仿宋_GB2312"/>
          <w:sz w:val="32"/>
          <w:szCs w:val="32"/>
        </w:rPr>
        <w:t>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2．教育支出年初预算28万元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5.51万元，执行率为19.68%</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主要用于教委相关工作经费支出。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3．科学技术支出年初预算170万元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10.7万元，</w:t>
      </w:r>
      <w:r>
        <w:rPr>
          <w:rFonts w:hint="eastAsia" w:ascii="仿宋_GB2312" w:hAnsi="仿宋_GB2312" w:eastAsia="仿宋_GB2312" w:cs="仿宋_GB2312"/>
          <w:b/>
          <w:kern w:val="0"/>
          <w:sz w:val="32"/>
          <w:szCs w:val="32"/>
          <w:lang w:val="zh-CN"/>
        </w:rPr>
        <w:t>执行率为</w:t>
      </w:r>
      <w:r>
        <w:rPr>
          <w:rFonts w:hint="eastAsia" w:ascii="仿宋_GB2312" w:hAnsi="仿宋_GB2312" w:eastAsia="仿宋_GB2312" w:cs="仿宋_GB2312"/>
          <w:b/>
          <w:kern w:val="0"/>
          <w:sz w:val="32"/>
          <w:szCs w:val="32"/>
        </w:rPr>
        <w:t>6.29</w:t>
      </w:r>
      <w:r>
        <w:rPr>
          <w:rFonts w:hint="eastAsia" w:ascii="仿宋_GB2312" w:hAnsi="仿宋_GB2312" w:eastAsia="仿宋_GB2312" w:cs="仿宋_GB2312"/>
          <w:b/>
          <w:kern w:val="0"/>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主要用于企业扶持资金支出。</w:t>
      </w:r>
    </w:p>
    <w:p>
      <w:pPr>
        <w:pStyle w:val="9"/>
        <w:jc w:val="left"/>
        <w:rPr>
          <w:rFonts w:ascii="仿宋_GB2312" w:hAnsi="仿宋_GB2312" w:eastAsia="仿宋_GB2312" w:cs="仿宋_GB2312"/>
          <w:sz w:val="32"/>
          <w:szCs w:val="32"/>
        </w:rPr>
      </w:pPr>
      <w:r>
        <w:rPr>
          <w:rFonts w:hint="eastAsia" w:ascii="仿宋_GB2312" w:hAnsi="仿宋_GB2312" w:eastAsia="仿宋_GB2312" w:cs="仿宋_GB2312"/>
          <w:b/>
          <w:sz w:val="32"/>
          <w:szCs w:val="32"/>
        </w:rPr>
        <w:t xml:space="preserve">    4.文化旅游体育与传媒支出年初预算10万元 ，截至6月底暂无支出。</w:t>
      </w:r>
    </w:p>
    <w:p>
      <w:pPr>
        <w:spacing w:line="560" w:lineRule="exact"/>
        <w:ind w:firstLine="643" w:firstLineChars="200"/>
        <w:rPr>
          <w:rFonts w:ascii="仿宋_GB2312" w:hAnsi="仿宋" w:eastAsia="仿宋_GB2312"/>
          <w:sz w:val="32"/>
          <w:szCs w:val="32"/>
        </w:rPr>
      </w:pPr>
      <w:r>
        <w:rPr>
          <w:rFonts w:hint="eastAsia" w:ascii="仿宋_GB2312" w:hAnsi="仿宋_GB2312" w:eastAsia="仿宋_GB2312" w:cs="仿宋_GB2312"/>
          <w:b/>
          <w:sz w:val="32"/>
          <w:szCs w:val="32"/>
        </w:rPr>
        <w:t>5．社会保障和就业支出年初预算7026.31万元</w:t>
      </w:r>
      <w:r>
        <w:rPr>
          <w:rFonts w:hint="eastAsia" w:ascii="仿宋_GB2312" w:hAnsi="仿宋_GB2312" w:eastAsia="仿宋_GB2312" w:cs="仿宋_GB2312"/>
          <w:b/>
          <w:sz w:val="32"/>
          <w:szCs w:val="32"/>
          <w:lang w:val="zh-CN"/>
        </w:rPr>
        <w:t>，已执行</w:t>
      </w:r>
      <w:r>
        <w:rPr>
          <w:rFonts w:hint="eastAsia" w:ascii="仿宋_GB2312" w:hAnsi="仿宋_GB2312" w:eastAsia="仿宋_GB2312" w:cs="仿宋_GB2312"/>
          <w:b/>
          <w:sz w:val="32"/>
          <w:szCs w:val="32"/>
        </w:rPr>
        <w:t>3463.38万元，</w:t>
      </w:r>
      <w:r>
        <w:rPr>
          <w:rFonts w:hint="eastAsia" w:ascii="仿宋_GB2312" w:hAnsi="仿宋_GB2312" w:eastAsia="仿宋_GB2312" w:cs="仿宋_GB2312"/>
          <w:b/>
          <w:sz w:val="32"/>
          <w:szCs w:val="32"/>
          <w:lang w:val="zh-CN"/>
        </w:rPr>
        <w:t>执行率为49.29%。</w:t>
      </w:r>
      <w:r>
        <w:rPr>
          <w:rFonts w:hint="eastAsia" w:ascii="仿宋_GB2312" w:hAnsi="仿宋_GB2312" w:eastAsia="仿宋_GB2312" w:cs="仿宋_GB2312"/>
          <w:sz w:val="32"/>
          <w:szCs w:val="32"/>
        </w:rPr>
        <w:t>主要用于社区事务受理服务中心</w:t>
      </w:r>
      <w:r>
        <w:rPr>
          <w:rFonts w:hint="eastAsia" w:ascii="仿宋_GB2312" w:hAnsi="仿宋_GB2312" w:eastAsia="仿宋_GB2312" w:cs="仿宋_GB2312"/>
          <w:kern w:val="0"/>
          <w:sz w:val="32"/>
          <w:szCs w:val="32"/>
          <w:lang w:val="zh-CN"/>
        </w:rPr>
        <w:t>经费</w:t>
      </w:r>
      <w:r>
        <w:rPr>
          <w:rFonts w:hint="eastAsia" w:ascii="仿宋_GB2312" w:hAnsi="仿宋_GB2312" w:eastAsia="仿宋_GB2312" w:cs="仿宋_GB2312"/>
          <w:sz w:val="32"/>
          <w:szCs w:val="32"/>
        </w:rPr>
        <w:t>，社区工作者经费，社会协管服务社及生态养护社经费，行政及事业单位养老保险缴费，行政及事业单位退休人员生活补贴，</w:t>
      </w:r>
      <w:r>
        <w:rPr>
          <w:rFonts w:hint="eastAsia" w:ascii="仿宋_GB2312" w:hAnsi="仿宋" w:eastAsia="仿宋_GB2312"/>
          <w:sz w:val="32"/>
          <w:szCs w:val="32"/>
        </w:rPr>
        <w:t>综合为老服务中心托管经费，</w:t>
      </w:r>
      <w:r>
        <w:rPr>
          <w:rFonts w:hint="eastAsia" w:ascii="仿宋_GB2312" w:hAnsi="仿宋_GB2312" w:eastAsia="仿宋_GB2312" w:cs="仿宋_GB2312"/>
          <w:sz w:val="32"/>
          <w:szCs w:val="32"/>
        </w:rPr>
        <w:t>稳定就业岗位补贴，老年综合津贴，重残无业补助等支出。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6．卫生健康支出年初预算495.73万元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229.28万元，</w:t>
      </w:r>
      <w:r>
        <w:rPr>
          <w:rFonts w:hint="eastAsia" w:ascii="仿宋_GB2312" w:hAnsi="仿宋_GB2312" w:eastAsia="仿宋_GB2312" w:cs="仿宋_GB2312"/>
          <w:b/>
          <w:kern w:val="0"/>
          <w:sz w:val="32"/>
          <w:szCs w:val="32"/>
          <w:lang w:val="zh-CN"/>
        </w:rPr>
        <w:t>执行</w:t>
      </w:r>
      <w:r>
        <w:rPr>
          <w:rFonts w:hint="eastAsia" w:ascii="仿宋_GB2312" w:hAnsi="仿宋_GB2312" w:eastAsia="仿宋_GB2312" w:cs="仿宋_GB2312"/>
          <w:b/>
          <w:sz w:val="32"/>
          <w:szCs w:val="32"/>
          <w:lang w:val="zh-CN"/>
        </w:rPr>
        <w:t>率为</w:t>
      </w:r>
      <w:r>
        <w:rPr>
          <w:rFonts w:hint="eastAsia" w:ascii="仿宋_GB2312" w:hAnsi="仿宋_GB2312" w:eastAsia="仿宋_GB2312" w:cs="仿宋_GB2312"/>
          <w:b/>
          <w:sz w:val="32"/>
          <w:szCs w:val="32"/>
        </w:rPr>
        <w:t>46.25</w:t>
      </w:r>
      <w:r>
        <w:rPr>
          <w:rFonts w:hint="eastAsia" w:ascii="仿宋_GB2312" w:hAnsi="仿宋_GB2312" w:eastAsia="仿宋_GB2312" w:cs="仿宋_GB2312"/>
          <w:b/>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主要用于行政及事业单位医疗缴费支出，新冠疫情防疫经费。</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7.节能环保支出年初预算3487.26万元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747.02万元，</w:t>
      </w:r>
      <w:r>
        <w:rPr>
          <w:rFonts w:hint="eastAsia" w:ascii="仿宋_GB2312" w:hAnsi="仿宋_GB2312" w:eastAsia="仿宋_GB2312" w:cs="仿宋_GB2312"/>
          <w:b/>
          <w:kern w:val="0"/>
          <w:sz w:val="32"/>
          <w:szCs w:val="32"/>
          <w:lang w:val="zh-CN"/>
        </w:rPr>
        <w:t>执行率为</w:t>
      </w:r>
      <w:r>
        <w:rPr>
          <w:rFonts w:hint="eastAsia" w:ascii="仿宋_GB2312" w:hAnsi="仿宋_GB2312" w:eastAsia="仿宋_GB2312" w:cs="仿宋_GB2312"/>
          <w:b/>
          <w:kern w:val="0"/>
          <w:sz w:val="32"/>
          <w:szCs w:val="32"/>
        </w:rPr>
        <w:t>21.</w:t>
      </w:r>
      <w:r>
        <w:rPr>
          <w:rFonts w:hint="eastAsia" w:ascii="仿宋_GB2312" w:hAnsi="仿宋_GB2312" w:eastAsia="仿宋_GB2312" w:cs="仿宋_GB2312"/>
          <w:b/>
          <w:sz w:val="32"/>
          <w:szCs w:val="32"/>
        </w:rPr>
        <w:t>42</w:t>
      </w:r>
      <w:r>
        <w:rPr>
          <w:rFonts w:hint="eastAsia" w:ascii="仿宋_GB2312" w:hAnsi="仿宋_GB2312" w:eastAsia="仿宋_GB2312" w:cs="仿宋_GB2312"/>
          <w:b/>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主要用于生态保护和市容环境事务所经费，两网融合点委托管理经费，湿垃圾站运行经费，企业扶持资金等支出。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8．城乡社区支出年初预算3272.97万元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1220.62万元，</w:t>
      </w:r>
      <w:r>
        <w:rPr>
          <w:rFonts w:hint="eastAsia" w:ascii="仿宋_GB2312" w:hAnsi="仿宋_GB2312" w:eastAsia="仿宋_GB2312" w:cs="仿宋_GB2312"/>
          <w:b/>
          <w:kern w:val="0"/>
          <w:sz w:val="32"/>
          <w:szCs w:val="32"/>
          <w:lang w:val="zh-CN"/>
        </w:rPr>
        <w:t>执行率</w:t>
      </w:r>
      <w:r>
        <w:rPr>
          <w:rFonts w:hint="eastAsia" w:ascii="仿宋_GB2312" w:hAnsi="仿宋_GB2312" w:eastAsia="仿宋_GB2312" w:cs="仿宋_GB2312"/>
          <w:b/>
          <w:sz w:val="32"/>
          <w:szCs w:val="32"/>
          <w:lang w:val="zh-CN"/>
        </w:rPr>
        <w:t>为</w:t>
      </w:r>
      <w:r>
        <w:rPr>
          <w:rFonts w:hint="eastAsia" w:ascii="仿宋_GB2312" w:hAnsi="仿宋_GB2312" w:eastAsia="仿宋_GB2312" w:cs="仿宋_GB2312"/>
          <w:b/>
          <w:sz w:val="32"/>
          <w:szCs w:val="32"/>
        </w:rPr>
        <w:t>37.29</w:t>
      </w:r>
      <w:r>
        <w:rPr>
          <w:rFonts w:hint="eastAsia" w:ascii="仿宋_GB2312" w:hAnsi="仿宋_GB2312" w:eastAsia="仿宋_GB2312" w:cs="仿宋_GB2312"/>
          <w:b/>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综合行政执法队、城市运行管理中心和城市建设管理事务中心经费，维稳、综治、信访相关经费，2023年拆违整治经费，2023年生活垃圾分类收运处置委托服务经费，民宿扶持经费，2023年度公益林老林养护经费，广福小区工作经费，消防工作经费，创城经费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9．农林水支出年初预算1464.45万元</w:t>
      </w:r>
      <w:r>
        <w:rPr>
          <w:rFonts w:hint="eastAsia" w:ascii="仿宋_GB2312" w:hAnsi="仿宋_GB2312" w:eastAsia="仿宋_GB2312" w:cs="仿宋_GB2312"/>
          <w:b/>
          <w:sz w:val="32"/>
          <w:szCs w:val="32"/>
          <w:lang w:val="zh-CN"/>
        </w:rPr>
        <w:t>，已执行</w:t>
      </w:r>
      <w:r>
        <w:rPr>
          <w:rFonts w:hint="eastAsia" w:ascii="仿宋_GB2312" w:hAnsi="仿宋_GB2312" w:eastAsia="仿宋_GB2312" w:cs="仿宋_GB2312"/>
          <w:b/>
          <w:sz w:val="32"/>
          <w:szCs w:val="32"/>
        </w:rPr>
        <w:t>538.94万元，</w:t>
      </w:r>
      <w:r>
        <w:rPr>
          <w:rFonts w:hint="eastAsia" w:ascii="仿宋_GB2312" w:hAnsi="仿宋_GB2312" w:eastAsia="仿宋_GB2312" w:cs="仿宋_GB2312"/>
          <w:b/>
          <w:sz w:val="32"/>
          <w:szCs w:val="32"/>
          <w:lang w:val="zh-CN"/>
        </w:rPr>
        <w:t>执行率为</w:t>
      </w:r>
      <w:r>
        <w:rPr>
          <w:rFonts w:hint="eastAsia" w:ascii="仿宋_GB2312" w:hAnsi="仿宋_GB2312" w:eastAsia="仿宋_GB2312" w:cs="仿宋_GB2312"/>
          <w:b/>
          <w:sz w:val="32"/>
          <w:szCs w:val="32"/>
        </w:rPr>
        <w:t>36.80</w:t>
      </w:r>
      <w:r>
        <w:rPr>
          <w:rFonts w:hint="eastAsia" w:ascii="仿宋_GB2312" w:hAnsi="仿宋_GB2312" w:eastAsia="仿宋_GB2312" w:cs="仿宋_GB2312"/>
          <w:b/>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主要用于农业综合技术推广服务中心和水务管理所经费，2023年镇级河道市场化养护经费，农村生活污水养护镇配套经费</w:t>
      </w:r>
      <w:r>
        <w:rPr>
          <w:rFonts w:hint="eastAsia" w:ascii="仿宋_GB2312" w:hAnsi="仿宋" w:eastAsia="仿宋_GB2312"/>
          <w:sz w:val="32"/>
          <w:szCs w:val="32"/>
        </w:rPr>
        <w:t>，</w:t>
      </w:r>
      <w:r>
        <w:rPr>
          <w:rFonts w:hint="eastAsia" w:ascii="仿宋_GB2312" w:hAnsi="仿宋_GB2312" w:eastAsia="仿宋_GB2312" w:cs="仿宋_GB2312"/>
          <w:sz w:val="32"/>
          <w:szCs w:val="32"/>
        </w:rPr>
        <w:t>村级组织保障经费等支出。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10.交通运输支出年初预算4460万元，已执行4460万元，执行率为100%。</w:t>
      </w:r>
      <w:r>
        <w:rPr>
          <w:rFonts w:hint="eastAsia" w:ascii="仿宋_GB2312" w:hAnsi="仿宋_GB2312" w:eastAsia="仿宋_GB2312" w:cs="仿宋_GB2312"/>
          <w:sz w:val="32"/>
          <w:szCs w:val="32"/>
        </w:rPr>
        <w:t>主要用于企业扶持资金支出。</w:t>
      </w:r>
    </w:p>
    <w:p>
      <w:pPr>
        <w:pStyle w:val="2"/>
        <w:spacing w:line="560" w:lineRule="exact"/>
        <w:ind w:firstLine="643" w:firstLineChars="200"/>
        <w:rPr>
          <w:sz w:val="32"/>
          <w:szCs w:val="32"/>
        </w:rPr>
      </w:pPr>
      <w:r>
        <w:rPr>
          <w:rFonts w:hint="eastAsia" w:ascii="仿宋_GB2312" w:hAnsi="仿宋_GB2312" w:eastAsia="仿宋_GB2312" w:cs="仿宋_GB2312"/>
          <w:b/>
          <w:sz w:val="32"/>
          <w:szCs w:val="32"/>
        </w:rPr>
        <w:t>11.资源勘探工业信息等支出年初预算4563.41万元，已执行4538.26万元，执行率为99.45%。</w:t>
      </w:r>
      <w:r>
        <w:rPr>
          <w:rFonts w:hint="eastAsia" w:ascii="仿宋_GB2312" w:hAnsi="仿宋_GB2312" w:eastAsia="仿宋_GB2312" w:cs="仿宋_GB2312"/>
          <w:sz w:val="32"/>
          <w:szCs w:val="32"/>
        </w:rPr>
        <w:t>主要用于企业扶持资金支出。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12.住房保障支出年初预算516.40万元</w:t>
      </w:r>
      <w:r>
        <w:rPr>
          <w:rFonts w:hint="eastAsia" w:ascii="仿宋_GB2312" w:hAnsi="仿宋_GB2312" w:eastAsia="仿宋_GB2312" w:cs="仿宋_GB2312"/>
          <w:b/>
          <w:kern w:val="0"/>
          <w:sz w:val="32"/>
          <w:szCs w:val="32"/>
          <w:lang w:val="zh-CN"/>
        </w:rPr>
        <w:t>，已执行</w:t>
      </w:r>
      <w:r>
        <w:rPr>
          <w:rFonts w:hint="eastAsia" w:ascii="仿宋_GB2312" w:hAnsi="仿宋_GB2312" w:eastAsia="仿宋_GB2312" w:cs="仿宋_GB2312"/>
          <w:b/>
          <w:kern w:val="0"/>
          <w:sz w:val="32"/>
          <w:szCs w:val="32"/>
        </w:rPr>
        <w:t>259.63万元，</w:t>
      </w:r>
      <w:r>
        <w:rPr>
          <w:rFonts w:hint="eastAsia" w:ascii="仿宋_GB2312" w:hAnsi="仿宋_GB2312" w:eastAsia="仿宋_GB2312" w:cs="仿宋_GB2312"/>
          <w:b/>
          <w:kern w:val="0"/>
          <w:sz w:val="32"/>
          <w:szCs w:val="32"/>
          <w:lang w:val="zh-CN"/>
        </w:rPr>
        <w:t>执行率为</w:t>
      </w:r>
      <w:r>
        <w:rPr>
          <w:rFonts w:hint="eastAsia" w:ascii="仿宋_GB2312" w:hAnsi="仿宋_GB2312" w:eastAsia="仿宋_GB2312" w:cs="仿宋_GB2312"/>
          <w:b/>
          <w:kern w:val="0"/>
          <w:sz w:val="32"/>
          <w:szCs w:val="32"/>
        </w:rPr>
        <w:t>50.28</w:t>
      </w:r>
      <w:r>
        <w:rPr>
          <w:rFonts w:hint="eastAsia" w:ascii="仿宋_GB2312" w:hAnsi="仿宋_GB2312" w:eastAsia="仿宋_GB2312" w:cs="仿宋_GB2312"/>
          <w:b/>
          <w:kern w:val="0"/>
          <w:sz w:val="32"/>
          <w:szCs w:val="32"/>
          <w:lang w:val="zh-CN"/>
        </w:rPr>
        <w:t>%</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主要用于行政及事业单位人员住房公积金，行政单位的购房补贴支出。</w:t>
      </w:r>
    </w:p>
    <w:p>
      <w:pPr>
        <w:autoSpaceDE w:val="0"/>
        <w:autoSpaceDN w:val="0"/>
        <w:adjustRightInd w:val="0"/>
        <w:spacing w:line="560" w:lineRule="exact"/>
        <w:ind w:firstLine="640" w:firstLineChars="20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rPr>
        <w:t>（三</w:t>
      </w:r>
      <w:r>
        <w:rPr>
          <w:rFonts w:hint="eastAsia" w:ascii="楷体_GB2312" w:hAnsi="楷体_GB2312" w:eastAsia="楷体_GB2312" w:cs="楷体_GB2312"/>
          <w:kern w:val="0"/>
          <w:sz w:val="32"/>
          <w:szCs w:val="32"/>
          <w:lang w:val="zh-CN"/>
        </w:rPr>
        <w:t>）</w:t>
      </w:r>
      <w:r>
        <w:rPr>
          <w:rFonts w:hint="eastAsia" w:ascii="楷体_GB2312" w:hAnsi="仿宋_GB2312" w:eastAsia="楷体_GB2312" w:cs="仿宋_GB2312"/>
          <w:sz w:val="32"/>
          <w:szCs w:val="32"/>
        </w:rPr>
        <w:t>区对乡镇专项转移支付收入情况</w:t>
      </w:r>
    </w:p>
    <w:p>
      <w:pPr>
        <w:autoSpaceDE w:val="0"/>
        <w:autoSpaceDN w:val="0"/>
        <w:adjustRightInd w:val="0"/>
        <w:spacing w:line="560" w:lineRule="exact"/>
        <w:ind w:firstLine="640" w:firstLineChars="200"/>
        <w:jc w:val="left"/>
        <w:rPr>
          <w:rFonts w:ascii="仿宋_GB2312" w:hAnsi="黑体" w:eastAsia="仿宋_GB2312"/>
          <w:bCs/>
          <w:sz w:val="32"/>
          <w:szCs w:val="32"/>
        </w:rPr>
      </w:pPr>
      <w:r>
        <w:rPr>
          <w:rFonts w:hint="eastAsia" w:ascii="仿宋_GB2312" w:hAnsi="黑体" w:eastAsia="仿宋_GB2312"/>
          <w:bCs/>
          <w:sz w:val="32"/>
          <w:szCs w:val="32"/>
        </w:rPr>
        <w:t>2023年上半年专项转移支付收入</w:t>
      </w:r>
      <w:r>
        <w:rPr>
          <w:rFonts w:ascii="仿宋_GB2312" w:hAnsi="黑体" w:eastAsia="仿宋_GB2312"/>
          <w:bCs/>
          <w:sz w:val="32"/>
          <w:szCs w:val="32"/>
        </w:rPr>
        <w:t>22711.84</w:t>
      </w:r>
      <w:r>
        <w:rPr>
          <w:rFonts w:hint="eastAsia" w:ascii="仿宋_GB2312" w:hAnsi="黑体" w:eastAsia="仿宋_GB2312"/>
          <w:bCs/>
          <w:sz w:val="32"/>
          <w:szCs w:val="32"/>
        </w:rPr>
        <w:t>万元，其中： 2023年下达一般公共预算专项转移支付收入</w:t>
      </w:r>
      <w:r>
        <w:rPr>
          <w:rFonts w:ascii="仿宋_GB2312" w:hAnsi="黑体" w:eastAsia="仿宋_GB2312"/>
          <w:bCs/>
          <w:sz w:val="32"/>
          <w:szCs w:val="32"/>
        </w:rPr>
        <w:t>4668.37</w:t>
      </w:r>
      <w:r>
        <w:rPr>
          <w:rFonts w:hint="eastAsia" w:ascii="仿宋_GB2312" w:hAnsi="黑体" w:eastAsia="仿宋_GB2312"/>
          <w:bCs/>
          <w:sz w:val="32"/>
          <w:szCs w:val="32"/>
        </w:rPr>
        <w:t>万元，2022年结转一般公共预算专项转移支付收入5642.71万元, 2022年结转政府性基金专项转移支付收入12400.76万元。</w:t>
      </w:r>
    </w:p>
    <w:p>
      <w:pPr>
        <w:autoSpaceDE w:val="0"/>
        <w:autoSpaceDN w:val="0"/>
        <w:adjustRightInd w:val="0"/>
        <w:spacing w:line="560" w:lineRule="exact"/>
        <w:ind w:firstLine="640" w:firstLineChars="200"/>
        <w:jc w:val="left"/>
        <w:rPr>
          <w:rFonts w:ascii="楷体_GB2312" w:hAnsi="楷体_GB2312" w:eastAsia="楷体_GB2312" w:cs="楷体_GB2312"/>
          <w:kern w:val="0"/>
          <w:sz w:val="32"/>
          <w:szCs w:val="32"/>
          <w:lang w:val="zh-CN"/>
        </w:rPr>
      </w:pPr>
      <w:r>
        <w:rPr>
          <w:rFonts w:hint="eastAsia" w:ascii="楷体_GB2312" w:hAnsi="楷体_GB2312" w:eastAsia="楷体_GB2312" w:cs="楷体_GB2312"/>
          <w:kern w:val="0"/>
          <w:sz w:val="32"/>
          <w:szCs w:val="32"/>
        </w:rPr>
        <w:t>（四</w:t>
      </w:r>
      <w:r>
        <w:rPr>
          <w:rFonts w:hint="eastAsia" w:ascii="楷体_GB2312" w:hAnsi="楷体_GB2312" w:eastAsia="楷体_GB2312" w:cs="楷体_GB2312"/>
          <w:kern w:val="0"/>
          <w:sz w:val="32"/>
          <w:szCs w:val="32"/>
          <w:lang w:val="zh-CN"/>
        </w:rPr>
        <w:t>）</w:t>
      </w:r>
      <w:r>
        <w:rPr>
          <w:rFonts w:hint="eastAsia" w:ascii="楷体_GB2312" w:hAnsi="仿宋_GB2312" w:eastAsia="楷体_GB2312" w:cs="仿宋_GB2312"/>
          <w:sz w:val="32"/>
          <w:szCs w:val="32"/>
        </w:rPr>
        <w:t>区对乡镇专项转移支付执行情况</w:t>
      </w:r>
    </w:p>
    <w:p>
      <w:pPr>
        <w:spacing w:line="560" w:lineRule="exact"/>
        <w:ind w:firstLine="640" w:firstLineChars="200"/>
        <w:rPr>
          <w:rFonts w:ascii="仿宋_GB2312" w:hAnsi="黑体" w:eastAsia="仿宋_GB2312"/>
          <w:bCs/>
          <w:sz w:val="32"/>
          <w:szCs w:val="32"/>
        </w:rPr>
      </w:pPr>
      <w:r>
        <w:rPr>
          <w:rFonts w:hint="eastAsia" w:ascii="仿宋_GB2312" w:hAnsi="黑体" w:eastAsia="仿宋_GB2312"/>
          <w:bCs/>
          <w:sz w:val="32"/>
          <w:szCs w:val="32"/>
        </w:rPr>
        <w:t>2023年上半年专项转移支付执行</w:t>
      </w:r>
      <w:r>
        <w:rPr>
          <w:rFonts w:hint="eastAsia" w:ascii="仿宋_GB2312" w:hAnsi="仿宋" w:eastAsia="仿宋_GB2312"/>
          <w:sz w:val="32"/>
          <w:szCs w:val="32"/>
        </w:rPr>
        <w:t>7832.20</w:t>
      </w:r>
      <w:r>
        <w:rPr>
          <w:rFonts w:hint="eastAsia" w:ascii="仿宋_GB2312" w:hAnsi="黑体" w:eastAsia="仿宋_GB2312"/>
          <w:bCs/>
          <w:sz w:val="32"/>
          <w:szCs w:val="32"/>
        </w:rPr>
        <w:t>万元，其中：一般公共预算专项转移支付支出</w:t>
      </w:r>
      <w:r>
        <w:rPr>
          <w:rFonts w:hint="eastAsia" w:ascii="仿宋_GB2312" w:hAnsi="仿宋" w:eastAsia="仿宋_GB2312"/>
          <w:sz w:val="32"/>
          <w:szCs w:val="32"/>
        </w:rPr>
        <w:t>4861.07</w:t>
      </w:r>
      <w:r>
        <w:rPr>
          <w:rFonts w:hint="eastAsia" w:ascii="仿宋_GB2312" w:hAnsi="黑体" w:eastAsia="仿宋_GB2312"/>
          <w:bCs/>
          <w:sz w:val="32"/>
          <w:szCs w:val="32"/>
        </w:rPr>
        <w:t>万元，政府性基金专项转移支付支出2971.13万元。</w:t>
      </w:r>
    </w:p>
    <w:p>
      <w:pPr>
        <w:pStyle w:val="2"/>
        <w:spacing w:line="560" w:lineRule="exact"/>
        <w:ind w:firstLine="640" w:firstLineChars="200"/>
        <w:rPr>
          <w:rFonts w:ascii="仿宋_GB2312" w:hAnsi="黑体" w:eastAsia="仿宋_GB2312"/>
          <w:bCs/>
          <w:sz w:val="32"/>
          <w:szCs w:val="32"/>
        </w:rPr>
      </w:pPr>
      <w:r>
        <w:rPr>
          <w:rFonts w:hint="eastAsia" w:ascii="仿宋_GB2312" w:hAnsi="黑体" w:eastAsia="仿宋_GB2312"/>
          <w:bCs/>
          <w:sz w:val="32"/>
          <w:szCs w:val="32"/>
        </w:rPr>
        <w:t>1.一般公共预算专项转移支付支出，主要用于水利建设专项补助，中小河道长效管理，公益林、廊道养护专项补助，居家养老服务专项补助，城乡医疗救助，稳定就业岗位补贴</w:t>
      </w:r>
      <w:r>
        <w:rPr>
          <w:rFonts w:hint="eastAsia" w:ascii="仿宋_GB2312" w:hAnsi="仿宋" w:eastAsia="仿宋_GB2312"/>
          <w:sz w:val="32"/>
          <w:szCs w:val="32"/>
        </w:rPr>
        <w:t>等支出。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bCs/>
          <w:sz w:val="32"/>
          <w:szCs w:val="32"/>
        </w:rPr>
        <w:t>2.政府性基金专项转移支付支出，主要用于</w:t>
      </w:r>
      <w:r>
        <w:rPr>
          <w:rFonts w:hint="eastAsia" w:ascii="仿宋_GB2312" w:hAnsi="仿宋_GB2312" w:eastAsia="仿宋_GB2312" w:cs="仿宋_GB2312"/>
          <w:sz w:val="32"/>
          <w:szCs w:val="32"/>
        </w:rPr>
        <w:t>农村公路乡村道路养护经费，</w:t>
      </w:r>
      <w:r>
        <w:rPr>
          <w:rFonts w:hint="eastAsia" w:ascii="仿宋_GB2312" w:hAnsi="仿宋_GB2312" w:eastAsia="仿宋_GB2312" w:cs="仿宋_GB2312"/>
          <w:bCs/>
          <w:sz w:val="32"/>
          <w:szCs w:val="32"/>
        </w:rPr>
        <w:t>滧中村村庄改造项目经费，中兴镇农产品集中交易收购点建设工程，C77樱花园基础设施提升工程</w:t>
      </w:r>
      <w:r>
        <w:rPr>
          <w:rFonts w:hint="eastAsia" w:ascii="仿宋_GB2312" w:hAnsi="仿宋_GB2312" w:eastAsia="仿宋_GB2312" w:cs="仿宋_GB2312"/>
          <w:sz w:val="32"/>
          <w:szCs w:val="32"/>
        </w:rPr>
        <w:t>等支出。</w:t>
      </w:r>
    </w:p>
    <w:p>
      <w:pPr>
        <w:pStyle w:val="2"/>
      </w:pPr>
    </w:p>
    <w:p>
      <w:pPr>
        <w:spacing w:line="560" w:lineRule="exact"/>
        <w:jc w:val="center"/>
        <w:rPr>
          <w:rFonts w:ascii="仿宋_GB2312" w:hAnsi="楷体" w:eastAsia="仿宋_GB2312"/>
          <w:sz w:val="32"/>
          <w:szCs w:val="32"/>
        </w:rPr>
      </w:pPr>
      <w:r>
        <w:rPr>
          <w:rFonts w:hint="eastAsia" w:ascii="黑体" w:hAnsi="黑体" w:eastAsia="黑体" w:cs="宋体"/>
          <w:bCs/>
          <w:sz w:val="32"/>
          <w:szCs w:val="32"/>
        </w:rPr>
        <w:t>三、2023年下半年财政工作主要任务</w:t>
      </w:r>
    </w:p>
    <w:p>
      <w:pPr>
        <w:pStyle w:val="6"/>
        <w:adjustRightInd w:val="0"/>
        <w:snapToGrid w:val="0"/>
        <w:spacing w:before="0" w:beforeAutospacing="0" w:after="0" w:afterAutospacing="0" w:line="560" w:lineRule="exact"/>
        <w:ind w:firstLine="640" w:firstLineChars="200"/>
        <w:rPr>
          <w:rFonts w:ascii="仿宋_GB2312" w:hAnsi="楷体" w:eastAsia="仿宋_GB2312" w:cs="Times New Roman"/>
          <w:kern w:val="2"/>
          <w:sz w:val="32"/>
          <w:szCs w:val="32"/>
        </w:rPr>
      </w:pPr>
    </w:p>
    <w:p>
      <w:pPr>
        <w:pStyle w:val="6"/>
        <w:adjustRightInd w:val="0"/>
        <w:snapToGrid w:val="0"/>
        <w:spacing w:before="0" w:beforeAutospacing="0" w:after="0" w:afterAutospacing="0" w:line="560" w:lineRule="exact"/>
        <w:ind w:firstLine="640" w:firstLineChars="200"/>
        <w:rPr>
          <w:rFonts w:ascii="仿宋_GB2312" w:hAnsi="楷体" w:eastAsia="仿宋_GB2312" w:cs="Times New Roman"/>
          <w:kern w:val="2"/>
          <w:sz w:val="32"/>
          <w:szCs w:val="32"/>
          <w:lang w:val="zh-CN"/>
        </w:rPr>
      </w:pPr>
      <w:r>
        <w:rPr>
          <w:rFonts w:hint="eastAsia" w:ascii="仿宋_GB2312" w:hAnsi="楷体" w:eastAsia="仿宋_GB2312" w:cs="Times New Roman"/>
          <w:kern w:val="2"/>
          <w:sz w:val="32"/>
          <w:szCs w:val="32"/>
        </w:rPr>
        <w:t>上半年，在镇党委的领导下，切实履行财政职责，强化财政收支管理，为全镇经济社会高质量发展提供了坚强的财政支持。但受国家减税降费及宏观经济等多重因素影响以及招商工作面临的诸多不确定性，财政收入仍面临巨大挑战。</w:t>
      </w:r>
      <w:r>
        <w:rPr>
          <w:rFonts w:hint="eastAsia" w:ascii="仿宋_GB2312" w:hAnsi="楷体" w:eastAsia="仿宋_GB2312" w:cs="Times New Roman"/>
          <w:kern w:val="2"/>
          <w:sz w:val="32"/>
          <w:szCs w:val="32"/>
          <w:lang w:val="zh-CN"/>
        </w:rPr>
        <w:t>要完成全年预算任务，必须坚持把过“紧日子”作为长期坚持的方针，坚决兜紧兜牢“三保”底线，不断优化支出结构，切实把有限的财力投向民生保障、世界级生态岛建设等重点领域。</w:t>
      </w:r>
    </w:p>
    <w:p>
      <w:pPr>
        <w:numPr>
          <w:ilvl w:val="0"/>
          <w:numId w:val="1"/>
        </w:numPr>
        <w:adjustRightInd w:val="0"/>
        <w:snapToGrid w:val="0"/>
        <w:spacing w:line="560" w:lineRule="exact"/>
        <w:rPr>
          <w:rFonts w:ascii="楷体_GB2312" w:hAnsi="楷体_GB2312" w:eastAsia="楷体_GB2312" w:cs="楷体_GB2312"/>
          <w:sz w:val="32"/>
          <w:szCs w:val="32"/>
        </w:rPr>
      </w:pPr>
      <w:r>
        <w:rPr>
          <w:rFonts w:hint="eastAsia" w:ascii="楷体_GB2312" w:hAnsi="楷体_GB2312" w:eastAsia="楷体_GB2312" w:cs="楷体_GB2312"/>
          <w:sz w:val="32"/>
          <w:szCs w:val="32"/>
        </w:rPr>
        <w:t>做实做强财源基础</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千方百计促收增收。加强经济形势研判，持续细化深化收入执行分析，紧抓财源培植。实时监测重点行业运行态势，做好重点税源企业服务，稳定存量税源。着力推进以经济小区作为经济发展引擎的招商引资工作，积极统筹存量资金，真正做到把财政增收工作落到实处，取得实效。</w:t>
      </w:r>
    </w:p>
    <w:p>
      <w:pPr>
        <w:numPr>
          <w:ilvl w:val="0"/>
          <w:numId w:val="1"/>
        </w:numPr>
        <w:adjustRightInd w:val="0"/>
        <w:snapToGrid w:val="0"/>
        <w:spacing w:line="560" w:lineRule="exact"/>
        <w:rPr>
          <w:rFonts w:ascii="楷体_GB2312" w:hAnsi="楷体_GB2312" w:eastAsia="楷体_GB2312" w:cs="楷体_GB2312"/>
          <w:sz w:val="32"/>
          <w:szCs w:val="32"/>
        </w:rPr>
      </w:pPr>
      <w:r>
        <w:rPr>
          <w:rFonts w:hint="eastAsia" w:ascii="楷体_GB2312" w:hAnsi="楷体_GB2312" w:eastAsia="楷体_GB2312" w:cs="楷体_GB2312"/>
          <w:sz w:val="32"/>
          <w:szCs w:val="32"/>
        </w:rPr>
        <w:t>优化支出预算管理</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持续贯彻落实过“紧日子”要求。对非重点、非刚性、非近期支出进行压减，将节省出的财力保障民生等重点领域支出。进一步优化预算安排的规则，坚持“先有预算，后有项目”，新增事项在部门预算总额内进行调剂，仍有不足的，在存量资金中予以消耗。</w:t>
      </w:r>
    </w:p>
    <w:p>
      <w:pPr>
        <w:numPr>
          <w:ilvl w:val="0"/>
          <w:numId w:val="1"/>
        </w:numPr>
        <w:adjustRightInd w:val="0"/>
        <w:snapToGrid w:val="0"/>
        <w:spacing w:line="560" w:lineRule="exact"/>
        <w:rPr>
          <w:rFonts w:ascii="楷体_GB2312" w:hAnsi="楷体_GB2312" w:eastAsia="楷体_GB2312" w:cs="楷体_GB2312"/>
          <w:sz w:val="32"/>
          <w:szCs w:val="32"/>
        </w:rPr>
      </w:pPr>
      <w:r>
        <w:rPr>
          <w:rFonts w:hint="eastAsia" w:ascii="楷体_GB2312" w:hAnsi="楷体_GB2312" w:eastAsia="楷体_GB2312" w:cs="楷体_GB2312"/>
          <w:sz w:val="32"/>
          <w:szCs w:val="32"/>
        </w:rPr>
        <w:t>抓好抓实财政管理</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持续深入推进全面预算绩效管理。按照市、区全面推进预算绩效管理总体要求，抓好全年预算绩效管理工作的落实，持续做好绩效目标编制、绩效跟踪、重点项目评价等相关工作。持续推进政府采购和政府购买服务管理，努力确保政府购买服务资金规范管理和合理使用，提升管理绩效。</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各位代表，下半年，我们将更加紧密地团结在以习近平同志为核心的党中央周围，以习近平新时代中国特色社会主义思想为统领，在镇党委的领导下，自觉接受镇人大监督，锐意进取、拼搏实干、踔厉奋发、勇毅前行，扎实做好财政各项工作，确保2023年财政预算目标任务圆满完成。</w:t>
      </w:r>
    </w:p>
    <w:p>
      <w:pPr>
        <w:rPr>
          <w:rFonts w:hint="eastAsia"/>
          <w:lang w:val="en-US" w:eastAsia="zh-CN"/>
        </w:rPr>
      </w:pPr>
    </w:p>
    <w:p>
      <w:pPr>
        <w:pStyle w:val="9"/>
        <w:rPr>
          <w:rFonts w:hint="eastAsia"/>
          <w:lang w:val="en-US" w:eastAsia="zh-CN"/>
        </w:rPr>
      </w:pPr>
    </w:p>
    <w:p>
      <w:pPr>
        <w:rPr>
          <w:rFonts w:hint="eastAsia"/>
          <w:lang w:val="en-US" w:eastAsia="zh-CN"/>
        </w:rPr>
      </w:pPr>
    </w:p>
    <w:p>
      <w:pPr>
        <w:pStyle w:val="9"/>
        <w:rPr>
          <w:rFonts w:hint="eastAsia"/>
          <w:lang w:val="en-US" w:eastAsia="zh-CN"/>
        </w:rPr>
      </w:pPr>
    </w:p>
    <w:p>
      <w:pPr>
        <w:rPr>
          <w:rFonts w:hint="eastAsia"/>
          <w:lang w:val="en-US" w:eastAsia="zh-CN"/>
        </w:rPr>
      </w:pPr>
    </w:p>
    <w:p>
      <w:pPr>
        <w:pStyle w:val="9"/>
        <w:rPr>
          <w:rFonts w:hint="eastAsia"/>
          <w:lang w:val="en-US" w:eastAsia="zh-CN"/>
        </w:rPr>
      </w:pPr>
    </w:p>
    <w:p>
      <w:pPr>
        <w:rPr>
          <w:rFonts w:hint="eastAsia"/>
          <w:lang w:val="en-US" w:eastAsia="zh-CN"/>
        </w:rPr>
      </w:pPr>
      <w:bookmarkStart w:id="0" w:name="_GoBack"/>
      <w:bookmarkEnd w:id="0"/>
    </w:p>
    <w:p>
      <w:pPr>
        <w:rPr>
          <w:rFonts w:hint="eastAsia"/>
          <w:lang w:val="en-US" w:eastAsia="zh-CN"/>
        </w:rPr>
      </w:pPr>
    </w:p>
    <w:p>
      <w:pPr>
        <w:rPr>
          <w:rFonts w:hint="eastAsia"/>
          <w:lang w:val="en-US" w:eastAsia="zh-CN"/>
        </w:rPr>
      </w:pPr>
    </w:p>
    <w:p>
      <w:pPr>
        <w:rPr>
          <w:rFonts w:hint="eastAsia" w:ascii="仿宋_GB2312" w:eastAsia="仿宋_GB2312"/>
          <w:sz w:val="28"/>
          <w:szCs w:val="28"/>
        </w:rPr>
      </w:pPr>
    </w:p>
    <w:p>
      <w:pPr>
        <w:rPr>
          <w:rFonts w:hint="eastAsia" w:ascii="仿宋_GB2312" w:eastAsia="仿宋_GB2312"/>
          <w:sz w:val="24"/>
          <w:lang w:eastAsia="zh-CN"/>
        </w:rPr>
      </w:pPr>
      <w:r>
        <w:rPr>
          <w:rFonts w:ascii="仿宋_GB2312" w:eastAsia="仿宋_GB231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628640" cy="17780"/>
                <wp:effectExtent l="0" t="0" r="0" b="0"/>
                <wp:wrapNone/>
                <wp:docPr id="7" name="直接连接符 7"/>
                <wp:cNvGraphicFramePr/>
                <a:graphic xmlns:a="http://schemas.openxmlformats.org/drawingml/2006/main">
                  <a:graphicData uri="http://schemas.microsoft.com/office/word/2010/wordprocessingShape">
                    <wps:wsp>
                      <wps:cNvCnPr/>
                      <wps:spPr>
                        <a:xfrm>
                          <a:off x="0" y="0"/>
                          <a:ext cx="5628640" cy="17780"/>
                        </a:xfrm>
                        <a:prstGeom prst="line">
                          <a:avLst/>
                        </a:prstGeom>
                        <a:ln w="9525" cap="flat" cmpd="sng">
                          <a:solidFill>
                            <a:srgbClr val="000000"/>
                          </a:solidFill>
                          <a:prstDash val="solid"/>
                          <a:headEnd type="none" w="med" len="med"/>
                          <a:tailEnd type="none" w="med" len="med"/>
                        </a:ln>
                        <a:effectLst/>
                      </wps:spPr>
                      <wps:bodyPr upright="true"/>
                    </wps:wsp>
                  </a:graphicData>
                </a:graphic>
              </wp:anchor>
            </w:drawing>
          </mc:Choice>
          <mc:Fallback>
            <w:pict>
              <v:line id="_x0000_s1026" o:spid="_x0000_s1026" o:spt="20" style="position:absolute;left:0pt;margin-left:0pt;margin-top:0pt;height:1.4pt;width:443.2pt;z-index:251659264;mso-width-relative:page;mso-height-relative:page;" filled="f" stroked="t" coordsize="21600,21600" o:gfxdata="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WAAAAZHJzL1BLAQIU&#10;ABQAAAAIAIdO4kAPeZr40wAAAAMBAAAPAAAAAAAAAAEAIAAAADgAAABkcnMvZG93bnJldi54bWxQ&#10;SwECFAAUAAAACACHTuJAF4J6ZuYBAACrAwAADgAAAAAAAAABACAAAAA4AQAAZHJzL2Uyb0RvYy54&#10;bWxQSwUGAAAAAAYABgBZAQAAkAUAAAAA&#10;">
                <v:fill on="f" focussize="0,0"/>
                <v:stroke color="#000000" joinstyle="round"/>
                <v:imagedata o:title=""/>
                <o:lock v:ext="edit" aspectratio="f"/>
              </v:line>
            </w:pict>
          </mc:Fallback>
        </mc:AlternateContent>
      </w:r>
      <w:r>
        <w:rPr>
          <w:rFonts w:hint="eastAsia" w:ascii="仿宋_GB2312" w:eastAsia="仿宋_GB2312"/>
          <w:sz w:val="28"/>
          <w:szCs w:val="28"/>
        </w:rPr>
        <w:t>崇明区中兴镇</w:t>
      </w:r>
      <w:r>
        <w:rPr>
          <w:rFonts w:hint="eastAsia" w:ascii="仿宋_GB2312" w:eastAsia="仿宋_GB2312"/>
          <w:sz w:val="28"/>
          <w:szCs w:val="28"/>
          <w:lang w:eastAsia="zh-CN"/>
        </w:rPr>
        <w:t>第二届</w:t>
      </w:r>
      <w:r>
        <w:rPr>
          <w:rFonts w:hint="eastAsia" w:ascii="仿宋_GB2312" w:eastAsia="仿宋_GB2312"/>
          <w:sz w:val="28"/>
          <w:szCs w:val="28"/>
        </w:rPr>
        <w:t>人民代表大会第</w:t>
      </w:r>
      <w:r>
        <w:rPr>
          <w:rFonts w:hint="eastAsia" w:ascii="仿宋_GB2312" w:eastAsia="仿宋_GB2312"/>
          <w:sz w:val="28"/>
          <w:szCs w:val="28"/>
          <w:lang w:eastAsia="zh-CN"/>
        </w:rPr>
        <w:t>五</w:t>
      </w:r>
      <w:r>
        <w:rPr>
          <w:rFonts w:hint="eastAsia" w:ascii="仿宋_GB2312" w:eastAsia="仿宋_GB2312"/>
          <w:sz w:val="28"/>
          <w:szCs w:val="28"/>
        </w:rPr>
        <w:t xml:space="preserve">次会议秘书组   </w:t>
      </w:r>
      <w:r>
        <w:rPr>
          <w:rFonts w:hint="eastAsia" w:ascii="仿宋_GB2312" w:eastAsia="仿宋_GB2312"/>
          <w:sz w:val="24"/>
          <w:lang w:eastAsia="zh-CN"/>
        </w:rPr>
        <w:t>202</w:t>
      </w:r>
      <w:r>
        <w:rPr>
          <w:rFonts w:hint="eastAsia" w:ascii="仿宋_GB2312" w:eastAsia="仿宋_GB2312"/>
          <w:sz w:val="24"/>
          <w:lang w:val="en-US" w:eastAsia="zh-CN"/>
        </w:rPr>
        <w:t>3</w:t>
      </w:r>
      <w:r>
        <w:rPr>
          <w:rFonts w:hint="eastAsia" w:ascii="仿宋_GB2312" w:eastAsia="仿宋_GB2312"/>
          <w:sz w:val="24"/>
          <w:lang w:eastAsia="zh-CN"/>
        </w:rPr>
        <w:t>年</w:t>
      </w:r>
      <w:r>
        <w:rPr>
          <w:rFonts w:hint="eastAsia" w:ascii="仿宋_GB2312" w:eastAsia="仿宋_GB2312"/>
          <w:sz w:val="24"/>
          <w:lang w:val="en-US" w:eastAsia="zh-CN"/>
        </w:rPr>
        <w:t>7</w:t>
      </w:r>
      <w:r>
        <w:rPr>
          <w:rFonts w:hint="eastAsia" w:ascii="仿宋_GB2312" w:eastAsia="仿宋_GB2312"/>
          <w:sz w:val="24"/>
          <w:lang w:eastAsia="zh-CN"/>
        </w:rPr>
        <w:t>月</w:t>
      </w:r>
      <w:r>
        <w:rPr>
          <w:rFonts w:hint="eastAsia" w:ascii="仿宋_GB2312" w:eastAsia="仿宋_GB2312"/>
          <w:sz w:val="24"/>
          <w:lang w:val="en-US" w:eastAsia="zh-CN"/>
        </w:rPr>
        <w:t>28</w:t>
      </w:r>
      <w:r>
        <w:rPr>
          <w:rFonts w:hint="eastAsia" w:ascii="仿宋_GB2312" w:eastAsia="仿宋_GB2312"/>
          <w:sz w:val="24"/>
          <w:lang w:eastAsia="zh-CN"/>
        </w:rPr>
        <w:t>日</w:t>
      </w:r>
    </w:p>
    <w:p>
      <w:pPr>
        <w:rPr>
          <w:rFonts w:ascii="仿宋_GB2312" w:eastAsia="仿宋_GB2312"/>
        </w:rPr>
      </w:pPr>
      <w:r>
        <w:rPr>
          <w:rFonts w:ascii="仿宋_GB2312" w:eastAsia="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2864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5628640" cy="0"/>
                        </a:xfrm>
                        <a:prstGeom prst="line">
                          <a:avLst/>
                        </a:prstGeom>
                        <a:ln w="9525" cap="flat" cmpd="sng">
                          <a:solidFill>
                            <a:srgbClr val="000000"/>
                          </a:solidFill>
                          <a:prstDash val="solid"/>
                          <a:headEnd type="none" w="med" len="med"/>
                          <a:tailEnd type="none" w="med" len="med"/>
                        </a:ln>
                        <a:effectLst/>
                      </wps:spPr>
                      <wps:bodyPr upright="true"/>
                    </wps:wsp>
                  </a:graphicData>
                </a:graphic>
              </wp:anchor>
            </w:drawing>
          </mc:Choice>
          <mc:Fallback>
            <w:pict>
              <v:line id="_x0000_s1026" o:spid="_x0000_s1026" o:spt="20" style="position:absolute;left:0pt;margin-left:0pt;margin-top:0pt;height:0pt;width:443.2pt;z-index:251660288;mso-width-relative:page;mso-height-relative:page;" filled="f" stroked="t" coordsize="21600,21600" o:gfxdata="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BYAAABkcnMvUEsBAhQAFAAAAAgA&#10;h07iQPc7h3PSAAAAAgEAAA8AAAAAAAAAAQAgAAAAOAAAAGRycy9kb3ducmV2LnhtbFBLAQIUABQA&#10;AAAIAIdO4kDDo50J4AEAAKcDAAAOAAAAAAAAAAEAIAAAADcBAABkcnMvZTJvRG9jLnhtbFBLBQYA&#10;AAAABgAGAFkBAACJBQAAAAA=&#10;">
                <v:fill on="f" focussize="0,0"/>
                <v:stroke color="#000000" joinstyle="round"/>
                <v:imagedata o:title=""/>
                <o:lock v:ext="edit" aspectratio="f"/>
              </v:line>
            </w:pict>
          </mc:Fallback>
        </mc:AlternateContent>
      </w:r>
    </w:p>
    <w:sectPr>
      <w:headerReference r:id="rId3" w:type="default"/>
      <w:footerReference r:id="rId4"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微软雅黑">
    <w:altName w:val="方正黑体_GBK"/>
    <w:panose1 w:val="020B0503020204020204"/>
    <w:charset w:val="86"/>
    <w:family w:val="swiss"/>
    <w:pitch w:val="default"/>
    <w:sig w:usb0="00000000" w:usb1="00000000" w:usb2="00000016" w:usb3="00000000" w:csb0="0004001F"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s0lY7tAAAAAFAQAADwAAAAAAAAABACAAAAA4AAAAZHJzL2Rvd25yZXYueG1sUEsB&#10;AhQAFAAAAAgAh07iQGUktTAgAgAANwQAAA4AAAAAAAAAAQAgAAAANQEAAGRycy9lMm9Eb2MueG1s&#10;UEsFBgAAAAAGAAYAWQEAAMcFA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both"/>
      <w:rPr>
        <w:rFonts w:hint="eastAsia" w:eastAsia="仿宋"/>
        <w:lang w:val="en-US" w:eastAsia="zh-CN"/>
      </w:rPr>
    </w:pPr>
    <w:r>
      <w:rPr>
        <w:rFonts w:hint="eastAsia" w:ascii="仿宋" w:hAnsi="仿宋" w:eastAsia="仿宋" w:cs="仿宋"/>
        <w:sz w:val="28"/>
        <w:szCs w:val="28"/>
        <w:lang w:val="en-US" w:eastAsia="zh-CN"/>
      </w:rPr>
      <w:t>会议材料之六</w:t>
    </w:r>
  </w:p>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86584A"/>
    <w:multiLevelType w:val="multilevel"/>
    <w:tmpl w:val="4D86584A"/>
    <w:lvl w:ilvl="0" w:tentative="0">
      <w:start w:val="1"/>
      <w:numFmt w:val="japaneseCounting"/>
      <w:lvlText w:val="（%1）"/>
      <w:lvlJc w:val="left"/>
      <w:pPr>
        <w:tabs>
          <w:tab w:val="left" w:pos="1800"/>
        </w:tabs>
        <w:ind w:left="1800" w:hanging="1080"/>
      </w:pPr>
      <w:rPr>
        <w:rFonts w:hint="default"/>
      </w:rPr>
    </w:lvl>
    <w:lvl w:ilvl="1" w:tentative="0">
      <w:start w:val="1"/>
      <w:numFmt w:val="lowerLetter"/>
      <w:lvlText w:val="%2)"/>
      <w:lvlJc w:val="left"/>
      <w:pPr>
        <w:tabs>
          <w:tab w:val="left" w:pos="1560"/>
        </w:tabs>
        <w:ind w:left="1560" w:hanging="420"/>
      </w:pPr>
    </w:lvl>
    <w:lvl w:ilvl="2" w:tentative="0">
      <w:start w:val="1"/>
      <w:numFmt w:val="lowerRoman"/>
      <w:lvlText w:val="%3."/>
      <w:lvlJc w:val="right"/>
      <w:pPr>
        <w:tabs>
          <w:tab w:val="left" w:pos="1980"/>
        </w:tabs>
        <w:ind w:left="1980" w:hanging="420"/>
      </w:pPr>
    </w:lvl>
    <w:lvl w:ilvl="3" w:tentative="0">
      <w:start w:val="1"/>
      <w:numFmt w:val="decimal"/>
      <w:lvlText w:val="%4."/>
      <w:lvlJc w:val="left"/>
      <w:pPr>
        <w:tabs>
          <w:tab w:val="left" w:pos="2400"/>
        </w:tabs>
        <w:ind w:left="2400" w:hanging="420"/>
      </w:pPr>
    </w:lvl>
    <w:lvl w:ilvl="4" w:tentative="0">
      <w:start w:val="1"/>
      <w:numFmt w:val="lowerLetter"/>
      <w:lvlText w:val="%5)"/>
      <w:lvlJc w:val="left"/>
      <w:pPr>
        <w:tabs>
          <w:tab w:val="left" w:pos="2820"/>
        </w:tabs>
        <w:ind w:left="2820" w:hanging="420"/>
      </w:pPr>
    </w:lvl>
    <w:lvl w:ilvl="5" w:tentative="0">
      <w:start w:val="1"/>
      <w:numFmt w:val="lowerRoman"/>
      <w:lvlText w:val="%6."/>
      <w:lvlJc w:val="right"/>
      <w:pPr>
        <w:tabs>
          <w:tab w:val="left" w:pos="3240"/>
        </w:tabs>
        <w:ind w:left="3240" w:hanging="420"/>
      </w:pPr>
    </w:lvl>
    <w:lvl w:ilvl="6" w:tentative="0">
      <w:start w:val="1"/>
      <w:numFmt w:val="decimal"/>
      <w:lvlText w:val="%7."/>
      <w:lvlJc w:val="left"/>
      <w:pPr>
        <w:tabs>
          <w:tab w:val="left" w:pos="3660"/>
        </w:tabs>
        <w:ind w:left="3660" w:hanging="420"/>
      </w:pPr>
    </w:lvl>
    <w:lvl w:ilvl="7" w:tentative="0">
      <w:start w:val="1"/>
      <w:numFmt w:val="lowerLetter"/>
      <w:lvlText w:val="%8)"/>
      <w:lvlJc w:val="left"/>
      <w:pPr>
        <w:tabs>
          <w:tab w:val="left" w:pos="4080"/>
        </w:tabs>
        <w:ind w:left="4080" w:hanging="420"/>
      </w:pPr>
    </w:lvl>
    <w:lvl w:ilvl="8" w:tentative="0">
      <w:start w:val="1"/>
      <w:numFmt w:val="lowerRoman"/>
      <w:lvlText w:val="%9."/>
      <w:lvlJc w:val="right"/>
      <w:pPr>
        <w:tabs>
          <w:tab w:val="left" w:pos="4500"/>
        </w:tabs>
        <w:ind w:left="45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noPunctuationKerning w:val="true"/>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jNTM4ODRhYTg0NWJlYWIwZmYyZDI1MGFlYjJmYTMifQ=="/>
  </w:docVars>
  <w:rsids>
    <w:rsidRoot w:val="5C5A4168"/>
    <w:rsid w:val="000040EA"/>
    <w:rsid w:val="00010A54"/>
    <w:rsid w:val="00025064"/>
    <w:rsid w:val="00033D23"/>
    <w:rsid w:val="000449B1"/>
    <w:rsid w:val="00056FBC"/>
    <w:rsid w:val="000E317A"/>
    <w:rsid w:val="000E4766"/>
    <w:rsid w:val="000F42D6"/>
    <w:rsid w:val="000F5F7C"/>
    <w:rsid w:val="001042A5"/>
    <w:rsid w:val="00125098"/>
    <w:rsid w:val="00142D74"/>
    <w:rsid w:val="00153EE1"/>
    <w:rsid w:val="00161CB5"/>
    <w:rsid w:val="00163CCC"/>
    <w:rsid w:val="001710DD"/>
    <w:rsid w:val="001817E6"/>
    <w:rsid w:val="00184A79"/>
    <w:rsid w:val="00190C00"/>
    <w:rsid w:val="00194356"/>
    <w:rsid w:val="001C7691"/>
    <w:rsid w:val="001F24CF"/>
    <w:rsid w:val="001F7D34"/>
    <w:rsid w:val="0020171A"/>
    <w:rsid w:val="00215085"/>
    <w:rsid w:val="002313B3"/>
    <w:rsid w:val="0026116E"/>
    <w:rsid w:val="00266084"/>
    <w:rsid w:val="002878E6"/>
    <w:rsid w:val="00292F3E"/>
    <w:rsid w:val="0029341E"/>
    <w:rsid w:val="002A5400"/>
    <w:rsid w:val="002D6BB5"/>
    <w:rsid w:val="002E6417"/>
    <w:rsid w:val="0030095B"/>
    <w:rsid w:val="00300BDA"/>
    <w:rsid w:val="00301CAC"/>
    <w:rsid w:val="0031088D"/>
    <w:rsid w:val="00360950"/>
    <w:rsid w:val="0038454F"/>
    <w:rsid w:val="003A70FA"/>
    <w:rsid w:val="003B295C"/>
    <w:rsid w:val="003B45F0"/>
    <w:rsid w:val="003E0C30"/>
    <w:rsid w:val="003F5432"/>
    <w:rsid w:val="003F6FE6"/>
    <w:rsid w:val="004103D3"/>
    <w:rsid w:val="00416555"/>
    <w:rsid w:val="00426AF1"/>
    <w:rsid w:val="0048638D"/>
    <w:rsid w:val="00492CC2"/>
    <w:rsid w:val="004A10BB"/>
    <w:rsid w:val="004C3C20"/>
    <w:rsid w:val="004D6253"/>
    <w:rsid w:val="004F0272"/>
    <w:rsid w:val="004F7537"/>
    <w:rsid w:val="00590006"/>
    <w:rsid w:val="0059640E"/>
    <w:rsid w:val="005A17AF"/>
    <w:rsid w:val="005E3DF6"/>
    <w:rsid w:val="005E5CC0"/>
    <w:rsid w:val="00605A58"/>
    <w:rsid w:val="006134AC"/>
    <w:rsid w:val="006372F7"/>
    <w:rsid w:val="00644A52"/>
    <w:rsid w:val="00644FBD"/>
    <w:rsid w:val="006532E8"/>
    <w:rsid w:val="0065354A"/>
    <w:rsid w:val="00665442"/>
    <w:rsid w:val="006911DD"/>
    <w:rsid w:val="00691563"/>
    <w:rsid w:val="006A7C9D"/>
    <w:rsid w:val="006B0B5C"/>
    <w:rsid w:val="006C7D32"/>
    <w:rsid w:val="006E5E5A"/>
    <w:rsid w:val="006F5DE1"/>
    <w:rsid w:val="007079C6"/>
    <w:rsid w:val="00727D3B"/>
    <w:rsid w:val="00752C6B"/>
    <w:rsid w:val="007736BC"/>
    <w:rsid w:val="007B28B2"/>
    <w:rsid w:val="007C419B"/>
    <w:rsid w:val="007C7BD2"/>
    <w:rsid w:val="007E61A3"/>
    <w:rsid w:val="00812874"/>
    <w:rsid w:val="008249A1"/>
    <w:rsid w:val="00862998"/>
    <w:rsid w:val="008A7577"/>
    <w:rsid w:val="008D6483"/>
    <w:rsid w:val="008F202B"/>
    <w:rsid w:val="00924B67"/>
    <w:rsid w:val="009344F3"/>
    <w:rsid w:val="0097697C"/>
    <w:rsid w:val="00980A55"/>
    <w:rsid w:val="009A457B"/>
    <w:rsid w:val="00A01C60"/>
    <w:rsid w:val="00A1131D"/>
    <w:rsid w:val="00A3662C"/>
    <w:rsid w:val="00A61E75"/>
    <w:rsid w:val="00A63462"/>
    <w:rsid w:val="00A860E9"/>
    <w:rsid w:val="00AB5361"/>
    <w:rsid w:val="00AB6B28"/>
    <w:rsid w:val="00AD3B86"/>
    <w:rsid w:val="00AF7981"/>
    <w:rsid w:val="00B83472"/>
    <w:rsid w:val="00BA6EDA"/>
    <w:rsid w:val="00BC67EF"/>
    <w:rsid w:val="00BC75DC"/>
    <w:rsid w:val="00C06613"/>
    <w:rsid w:val="00C20061"/>
    <w:rsid w:val="00C226F9"/>
    <w:rsid w:val="00C2397B"/>
    <w:rsid w:val="00C53DB6"/>
    <w:rsid w:val="00C55BD4"/>
    <w:rsid w:val="00C567C4"/>
    <w:rsid w:val="00C77020"/>
    <w:rsid w:val="00C77710"/>
    <w:rsid w:val="00C81611"/>
    <w:rsid w:val="00C840B4"/>
    <w:rsid w:val="00C95F63"/>
    <w:rsid w:val="00CC2183"/>
    <w:rsid w:val="00CF069A"/>
    <w:rsid w:val="00D10206"/>
    <w:rsid w:val="00D14D06"/>
    <w:rsid w:val="00D444D2"/>
    <w:rsid w:val="00D456DB"/>
    <w:rsid w:val="00D960AB"/>
    <w:rsid w:val="00D969BE"/>
    <w:rsid w:val="00DA1465"/>
    <w:rsid w:val="00DB12AF"/>
    <w:rsid w:val="00DB5061"/>
    <w:rsid w:val="00DF55C3"/>
    <w:rsid w:val="00E07624"/>
    <w:rsid w:val="00E657AD"/>
    <w:rsid w:val="00E72B30"/>
    <w:rsid w:val="00E836C0"/>
    <w:rsid w:val="00EB0427"/>
    <w:rsid w:val="00EB3EC1"/>
    <w:rsid w:val="00EC1D7B"/>
    <w:rsid w:val="00EF1820"/>
    <w:rsid w:val="00F02770"/>
    <w:rsid w:val="00F114A3"/>
    <w:rsid w:val="00F127C4"/>
    <w:rsid w:val="00F27D4A"/>
    <w:rsid w:val="00F43DE0"/>
    <w:rsid w:val="00F81C92"/>
    <w:rsid w:val="00F8629F"/>
    <w:rsid w:val="00F96B69"/>
    <w:rsid w:val="00FA5BBD"/>
    <w:rsid w:val="00FB6BA1"/>
    <w:rsid w:val="00FE24E2"/>
    <w:rsid w:val="00FE2E16"/>
    <w:rsid w:val="00FE70C5"/>
    <w:rsid w:val="00FF2447"/>
    <w:rsid w:val="01967528"/>
    <w:rsid w:val="024F6C4D"/>
    <w:rsid w:val="03B05CD7"/>
    <w:rsid w:val="04776584"/>
    <w:rsid w:val="051B25DB"/>
    <w:rsid w:val="054A4A4E"/>
    <w:rsid w:val="06053755"/>
    <w:rsid w:val="06733499"/>
    <w:rsid w:val="06AC2B64"/>
    <w:rsid w:val="08270074"/>
    <w:rsid w:val="097C30F7"/>
    <w:rsid w:val="09C761BE"/>
    <w:rsid w:val="0AFE34A0"/>
    <w:rsid w:val="0D2A2100"/>
    <w:rsid w:val="0FA230B2"/>
    <w:rsid w:val="106C206D"/>
    <w:rsid w:val="110D0092"/>
    <w:rsid w:val="11FA0425"/>
    <w:rsid w:val="17910D54"/>
    <w:rsid w:val="18762187"/>
    <w:rsid w:val="1BAA053E"/>
    <w:rsid w:val="1C6A3333"/>
    <w:rsid w:val="1CBD3463"/>
    <w:rsid w:val="1CE442E3"/>
    <w:rsid w:val="1E391D26"/>
    <w:rsid w:val="206E04BD"/>
    <w:rsid w:val="21393ACC"/>
    <w:rsid w:val="22FE298E"/>
    <w:rsid w:val="267856A7"/>
    <w:rsid w:val="26AF0B11"/>
    <w:rsid w:val="2750698B"/>
    <w:rsid w:val="29432A77"/>
    <w:rsid w:val="29CA1517"/>
    <w:rsid w:val="2BC8726D"/>
    <w:rsid w:val="2CD969B1"/>
    <w:rsid w:val="2D12214D"/>
    <w:rsid w:val="2E105274"/>
    <w:rsid w:val="2E983A51"/>
    <w:rsid w:val="31331AD3"/>
    <w:rsid w:val="31FD4C23"/>
    <w:rsid w:val="332B163A"/>
    <w:rsid w:val="33FC4368"/>
    <w:rsid w:val="341241A3"/>
    <w:rsid w:val="35455F3C"/>
    <w:rsid w:val="35BC5C7F"/>
    <w:rsid w:val="35DC3900"/>
    <w:rsid w:val="36826A64"/>
    <w:rsid w:val="368431D8"/>
    <w:rsid w:val="39063607"/>
    <w:rsid w:val="3A077FE0"/>
    <w:rsid w:val="3B7B377C"/>
    <w:rsid w:val="3CC87453"/>
    <w:rsid w:val="3CF878B8"/>
    <w:rsid w:val="3EE36F92"/>
    <w:rsid w:val="3F3F5C36"/>
    <w:rsid w:val="3FC14CDA"/>
    <w:rsid w:val="40F43FF3"/>
    <w:rsid w:val="429E143F"/>
    <w:rsid w:val="43C51678"/>
    <w:rsid w:val="45A06229"/>
    <w:rsid w:val="45AF034A"/>
    <w:rsid w:val="46C711F5"/>
    <w:rsid w:val="47C0041C"/>
    <w:rsid w:val="493B3F99"/>
    <w:rsid w:val="495A7AA5"/>
    <w:rsid w:val="4AC51D74"/>
    <w:rsid w:val="4C12691D"/>
    <w:rsid w:val="4C3E5A69"/>
    <w:rsid w:val="4CD313E2"/>
    <w:rsid w:val="4F796C30"/>
    <w:rsid w:val="50C155C2"/>
    <w:rsid w:val="51BF51B3"/>
    <w:rsid w:val="52A6642C"/>
    <w:rsid w:val="544C46C7"/>
    <w:rsid w:val="546244EF"/>
    <w:rsid w:val="558360CB"/>
    <w:rsid w:val="58800458"/>
    <w:rsid w:val="5A4409A0"/>
    <w:rsid w:val="5BC655BB"/>
    <w:rsid w:val="5C5A4168"/>
    <w:rsid w:val="5E77718A"/>
    <w:rsid w:val="5ECA79C4"/>
    <w:rsid w:val="61D23887"/>
    <w:rsid w:val="62B03660"/>
    <w:rsid w:val="63AE4178"/>
    <w:rsid w:val="64035B06"/>
    <w:rsid w:val="649B1329"/>
    <w:rsid w:val="65026286"/>
    <w:rsid w:val="670F1657"/>
    <w:rsid w:val="67B2325E"/>
    <w:rsid w:val="67B90DCE"/>
    <w:rsid w:val="697451C6"/>
    <w:rsid w:val="6AC74BC5"/>
    <w:rsid w:val="6B4E1977"/>
    <w:rsid w:val="6B69040E"/>
    <w:rsid w:val="6C8B0342"/>
    <w:rsid w:val="6F882414"/>
    <w:rsid w:val="709A148C"/>
    <w:rsid w:val="728F113C"/>
    <w:rsid w:val="72AB3233"/>
    <w:rsid w:val="748B2163"/>
    <w:rsid w:val="74E51BA3"/>
    <w:rsid w:val="75642876"/>
    <w:rsid w:val="75961920"/>
    <w:rsid w:val="75D72EBC"/>
    <w:rsid w:val="76FF2D0F"/>
    <w:rsid w:val="7746256E"/>
    <w:rsid w:val="78C811CF"/>
    <w:rsid w:val="78F95883"/>
    <w:rsid w:val="7A1F4D40"/>
    <w:rsid w:val="7B9D0006"/>
    <w:rsid w:val="7D400960"/>
    <w:rsid w:val="7F9B4703"/>
    <w:rsid w:val="7FC09C9C"/>
    <w:rsid w:val="F8FD360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unhideWhenUsed/>
    <w:qFormat/>
    <w:uiPriority w:val="0"/>
    <w:pPr>
      <w:keepNext/>
      <w:keepLines/>
      <w:spacing w:line="413" w:lineRule="auto"/>
      <w:outlineLvl w:val="2"/>
    </w:pPr>
    <w:rPr>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4">
    <w:name w:val="table of authorities"/>
    <w:basedOn w:val="1"/>
    <w:next w:val="1"/>
    <w:qFormat/>
    <w:uiPriority w:val="0"/>
    <w:pPr>
      <w:ind w:left="420" w:leftChars="200"/>
    </w:pPr>
  </w:style>
  <w:style w:type="paragraph" w:styleId="5">
    <w:name w:val="header"/>
    <w:basedOn w:val="1"/>
    <w:link w:val="1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9">
    <w:name w:val="正文标题"/>
    <w:basedOn w:val="4"/>
    <w:next w:val="1"/>
    <w:qFormat/>
    <w:uiPriority w:val="0"/>
    <w:pPr>
      <w:spacing w:line="560" w:lineRule="exact"/>
      <w:ind w:left="0" w:leftChars="0"/>
      <w:jc w:val="center"/>
    </w:pPr>
    <w:rPr>
      <w:rFonts w:ascii="宋体" w:hAnsi="宋体" w:eastAsia="黑体" w:cs="Times New Roman"/>
      <w:sz w:val="36"/>
      <w:szCs w:val="36"/>
    </w:rPr>
  </w:style>
  <w:style w:type="paragraph" w:customStyle="1" w:styleId="10">
    <w:name w:val="Char Char1"/>
    <w:basedOn w:val="1"/>
    <w:qFormat/>
    <w:uiPriority w:val="0"/>
    <w:rPr>
      <w:rFonts w:ascii="Times New Roman" w:hAnsi="Times New Roman" w:eastAsia="宋体" w:cs="Times New Roman"/>
      <w:szCs w:val="21"/>
    </w:rPr>
  </w:style>
  <w:style w:type="character" w:customStyle="1" w:styleId="11">
    <w:name w:val="页眉 Char"/>
    <w:basedOn w:val="8"/>
    <w:link w:val="5"/>
    <w:qFormat/>
    <w:uiPriority w:val="0"/>
    <w:rPr>
      <w:kern w:val="2"/>
      <w:sz w:val="18"/>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16</Pages>
  <Words>6368</Words>
  <Characters>7630</Characters>
  <Lines>52</Lines>
  <Paragraphs>14</Paragraphs>
  <TotalTime>0</TotalTime>
  <ScaleCrop>false</ScaleCrop>
  <LinksUpToDate>false</LinksUpToDate>
  <CharactersWithSpaces>7639</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2020-05-26T23:59:00Z</dcterms:created>
  <dc:creator>Administrator</dc:creator>
  <cp:lastModifiedBy>user</cp:lastModifiedBy>
  <cp:lastPrinted>2022-07-23T00:24:00Z</cp:lastPrinted>
  <dcterms:modified xsi:type="dcterms:W3CDTF">2023-07-26T08:37:37Z</dcterms:modified>
  <cp:revision>126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F25ACB26B78C411B950A8F1E815F50C1_12</vt:lpwstr>
  </property>
</Properties>
</file>