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F6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竖新镇人民政府关于202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年财政决算及</w:t>
      </w:r>
    </w:p>
    <w:p w14:paraId="0330B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年财政预算上半年执行情况（草案）的报告</w:t>
      </w:r>
    </w:p>
    <w:p w14:paraId="6627D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——202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 w:cs="楷体"/>
          <w:sz w:val="28"/>
          <w:szCs w:val="28"/>
        </w:rPr>
        <w:t>日在竖新镇第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二</w:t>
      </w:r>
      <w:r>
        <w:rPr>
          <w:rFonts w:hint="eastAsia" w:ascii="楷体" w:hAnsi="楷体" w:eastAsia="楷体" w:cs="楷体"/>
          <w:sz w:val="28"/>
          <w:szCs w:val="28"/>
        </w:rPr>
        <w:t>届人民代表大会第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七</w:t>
      </w:r>
      <w:r>
        <w:rPr>
          <w:rFonts w:hint="eastAsia" w:ascii="楷体" w:hAnsi="楷体" w:eastAsia="楷体" w:cs="楷体"/>
          <w:sz w:val="28"/>
          <w:szCs w:val="28"/>
        </w:rPr>
        <w:t>次会议上</w:t>
      </w:r>
    </w:p>
    <w:p w14:paraId="34012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竖新镇人民政府副镇长  袁立峰</w:t>
      </w:r>
    </w:p>
    <w:p w14:paraId="103F2CA8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25D432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各位代表：</w:t>
      </w:r>
    </w:p>
    <w:p w14:paraId="05013F8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受竖新镇人民政府委托，我向大会报告竖新镇202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年财政决算及202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年财政预算上半年执行情况，请予审议，并请各位列席代表提出意见。</w:t>
      </w:r>
    </w:p>
    <w:p w14:paraId="618AD60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一、202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年决算情况</w:t>
      </w:r>
    </w:p>
    <w:p w14:paraId="39DB9A6C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是全面贯彻落实党的二十大精神的开局之年，是全面实施“十四五”规划承上启下的关键之年，我镇财政坚持以习近平新时代中国特色社会主义思想为指导，坚持稳中求进的工作总基调，按照高质量发展要求，认真贯彻落实镇党委、政府决策部署，科学统筹财政资源，强化财政管理监督，积极履行财政职能，实现财政收支平衡。现将 2023年决算情况汇报如下：</w:t>
      </w:r>
    </w:p>
    <w:p w14:paraId="33769017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镇本级财政收入决算情况</w:t>
      </w:r>
    </w:p>
    <w:p w14:paraId="63700A81">
      <w:pPr>
        <w:adjustRightInd w:val="0"/>
        <w:snapToGrid w:val="0"/>
        <w:spacing w:line="560" w:lineRule="exact"/>
        <w:ind w:left="0" w:leftChars="0"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本级一般公共预算收入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万元，其中：镇税收分成收入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23399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一般性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转移支付收入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9601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 w14:paraId="30A05C6C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镇本级财政支出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决算情况</w:t>
      </w:r>
    </w:p>
    <w:p w14:paraId="026631AB">
      <w:pPr>
        <w:snapToGrid w:val="0"/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2023年镇本级一般公共预算支出33000万元，其中：执行金额32403.15万元，完成调整预算后的98.19%；安排预算稳定调节基金596.85万元结转至2024年预算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具体支出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执行情况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如下：</w:t>
      </w:r>
    </w:p>
    <w:p w14:paraId="0FB75E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3734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占镇本级预算支出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11.53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其中：</w:t>
      </w:r>
    </w:p>
    <w:p w14:paraId="4EF0EB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人大事务支出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18.92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万元。主要用于人大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活动经费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018EF56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（2）政府行政运行支出2419.96万元。主要用于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行政机关人员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工资、福利费、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公用经费、各部门工作经费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等支出。</w:t>
      </w:r>
    </w:p>
    <w:p w14:paraId="45440F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（3）财政事务支出216.52万元。主要用于财政所运行支出。</w:t>
      </w:r>
    </w:p>
    <w:p w14:paraId="007084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（4）纪检监察事务支出2.83万元。主要用于纪委专项工作经费支出。</w:t>
      </w:r>
    </w:p>
    <w:p w14:paraId="1ACB9D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（5）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群众团体事务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支出56.34万元。主要用于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工会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妇联和共青团组织等支出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2DB26B4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（6）统战事务支出7.57万元。主要用于统战专项工作经费支出。</w:t>
      </w:r>
    </w:p>
    <w:p w14:paraId="33A143B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（7）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党务支出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352.52万元。主要用于党群服务中心运行、基层党建经费、“两新”组织党支部专项经费等支出。</w:t>
      </w:r>
    </w:p>
    <w:p w14:paraId="039653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（8）其他一般公共服务支出659.34万元。主要用于经发中心运行、退职留用村干部经费等支出。</w:t>
      </w:r>
    </w:p>
    <w:p w14:paraId="6D31C9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2.教育支出56.11万元，占镇本级预算支出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0.17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乡村幼教等人员补贴、五位教师补差工资、暑期假日学校经费等支出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6DDE259B">
      <w:pPr>
        <w:snapToGrid w:val="0"/>
        <w:spacing w:line="560" w:lineRule="exact"/>
        <w:ind w:left="0" w:leftChars="0" w:firstLine="643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3.科学技术支出1647.43万元，占镇本级预算支出的5.08%。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主要用于科技经费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、企业扶持资金（乡镇科技创新资金）支出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66219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4.文化体育与传媒支出201.60万元，占镇本级预算支出的0.62%。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主要用于文化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体育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社区文化活动中心经费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精神文明建设经费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等支出。</w:t>
      </w:r>
    </w:p>
    <w:p w14:paraId="4380B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社会保障和就业支出16274.63万元，占镇本级预算支出的50.23%。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其中：</w:t>
      </w:r>
    </w:p>
    <w:p w14:paraId="3FD02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）民政管理事务支出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1508.39万元。主要用于社区事务受理中心运行、老年津贴、残疾人补助、小乡及老村干部补贴、农村低保配套及支内回沪补贴等支出。</w:t>
      </w:r>
    </w:p>
    <w:p w14:paraId="29BCE9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（2）行政事业单位养老支出900.28万元。主要用于行政机关及事业单位退休人员生活补贴、行政机关及事业单位养老保险等支出。</w:t>
      </w:r>
    </w:p>
    <w:p w14:paraId="0B406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（3）就业补助支出7915.63万元。主要用于生态就业岗位配套资金、企业扶持资金（促进就业奖励资金）等支出。</w:t>
      </w:r>
    </w:p>
    <w:p w14:paraId="5A4FEA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（4）社会福利支出61.24万元。主要用于云南帮困扶贫专项资金、长护险经费、居家养老服务工作经费等支出。</w:t>
      </w:r>
    </w:p>
    <w:p w14:paraId="1E9FC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（5）临时救助及其他生活救助支出42.36万元。主要用于民政年终慰问、帮扶救助等支出。</w:t>
      </w:r>
    </w:p>
    <w:p w14:paraId="254A9C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（6）退役军人管理事务支出112.51万元。主要用于双拥优抚专项经费支出。</w:t>
      </w:r>
    </w:p>
    <w:p w14:paraId="057206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（7）其他社会保障和就业支出5734.22万元。主要用于企业扶持资金（人才发展专项资金）、社区老人助餐经费、社会工作者专项经费等支出。</w:t>
      </w:r>
    </w:p>
    <w:p w14:paraId="77CCD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6.卫生健康支出435.08万元，占镇本级预算支出的1.34%。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主要用于行政机关及事业单位医保缴费、防疫经费、食品安全经费、爱卫会经费等支出。</w:t>
      </w:r>
    </w:p>
    <w:p w14:paraId="329EC7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7.节能环保支出3784.26万元，占镇本级预算支出的11.68%。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主要用于市容所运行、大新生态市集维修工程项目资金、企业扶持资金（节能减排专项资金）等支出。</w:t>
      </w:r>
    </w:p>
    <w:p w14:paraId="2073E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8.城乡社区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事务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支出1843.97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万元，占镇本级预算支出的5.69%。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主要用于综合行政执法队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城建中心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城运中心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街心花园建设项目专项经费、临水临河整治专项经费、2022年度路灯养护费、惠民村市级乡村振兴村庄规划设计费、社会化保洁经费、公路管理站经费等支出。</w:t>
      </w:r>
    </w:p>
    <w:p w14:paraId="34A67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9.农林水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事务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支出1431.87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万元，占镇本级预算支出的4.42%。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主要用于农技中心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水务所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2023春季在田绿肥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2022冬季深耕补贴镇配套资金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、镇农田基础设施养护项目经费、公益林及生态廊道市场化养护项目经费、大新四号横河等水生态提升项目经费、小横河河道整治工程镇配套资金等支出。</w:t>
      </w:r>
    </w:p>
    <w:p w14:paraId="0FBAF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10.资源勘探工业信息等支出2360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万元，占镇本级预算支出的7.28%。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主要用于经济小区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运行、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经济小区招商窗口服务费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A0F3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11.住房保障支出634.20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万元，占镇本级预算支出的1.96%。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事业单位人员的住房公积金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住房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3AB91AB3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（三）专项转移支付决算收入、支出情况</w:t>
      </w:r>
    </w:p>
    <w:p w14:paraId="4AD33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1.2023年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收入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22533.78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其中：一般公共预算专项转移支付收入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19639.65万元，政府性基金专项转移支付收入2894.13万元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63DBA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2.2023年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15165.02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结转至下年度转移支付金额为7584.22万元。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已支出的转移支付资金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医疗救助专项补助经费、东禾九谷烘干中心建设项目资金、崇明区2023年都市现代农业发展专项资金、2023年春季在田绿肥种植及2022年冬季深耕补贴、土地流转费补贴、2023年度中小河道长效管理专项资金、2023年生态河道及镇级断头河整治项目经费、镇村级河道措施性养护（第三批）经费、2023年度农村生活污水处理工程经费、残疾人专项补助经费、美丽乡村示范村建设项目资金、市级乡村振兴示范村项目资金等支出。</w:t>
      </w:r>
    </w:p>
    <w:p w14:paraId="1916DC2E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（四）一般性转移支付补充资金决算收入、支出情况</w:t>
      </w:r>
    </w:p>
    <w:p w14:paraId="0FA32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2023年一般性转移支付补充资金决算收入6393.16万元，上解支出6393.16万元，主要用于市场监管所运行、计划生育经费、城乡医疗救助经费、城乡居民基本医疗保险、生态养老补贴、城乡居民养老保险等支出。</w:t>
      </w:r>
    </w:p>
    <w:p w14:paraId="78C0204E">
      <w:pPr>
        <w:autoSpaceDE w:val="0"/>
        <w:autoSpaceDN w:val="0"/>
        <w:adjustRightInd w:val="0"/>
        <w:spacing w:line="560" w:lineRule="exact"/>
        <w:ind w:left="0" w:leftChars="0" w:firstLine="640" w:firstLineChars="200"/>
        <w:jc w:val="both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</w:rPr>
        <w:t>二、202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</w:rPr>
        <w:t>年财政预算上半年执行情况</w:t>
      </w:r>
    </w:p>
    <w:p w14:paraId="716A2636">
      <w:pPr>
        <w:snapToGrid w:val="0"/>
        <w:spacing w:line="560" w:lineRule="exact"/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2024年是全面贯彻落实党的二十大精神的关键之年，是全面实施“十四五”规划的攻坚之年。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上半年，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我镇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财政工作在镇党委、政府的正确领导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镇人大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的依法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监督支持下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各部门和社会各界的全力配合下，顶住财政收入下行压力，采取有效措施应对收支矛盾突出、预算难以平衡的考验，持续实施积极财政政策，强化资金要素保障，提升科学管理效能，优化财政支出结构，有效保障了我镇经济社会各项事业平稳发展。1-6月，我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紧紧围绕年初镇人代会确定的经济工作目标，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充分发挥财政职能作用，强化预算约束和绩效管理，预算执行情况总体较好，现汇报如下：</w:t>
      </w:r>
    </w:p>
    <w:p w14:paraId="35BAC265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镇本级财政预算收入情况</w:t>
      </w:r>
    </w:p>
    <w:p w14:paraId="62524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财政预算总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为30585.75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本级一般公共预算收入29000万元（税收体制分成收入19399.07万元，一般性转移支付收入9600.93万元），动用预算稳定调节基金收入596.85万元（2023年本级预算结余），统筹使用2021年专项转移支付结余资金988.90万元。</w:t>
      </w:r>
    </w:p>
    <w:p w14:paraId="58626861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镇本级财政预算支出情况</w:t>
      </w:r>
    </w:p>
    <w:p w14:paraId="78E4BCAB">
      <w:pPr>
        <w:pStyle w:val="3"/>
        <w:spacing w:beforeAutospacing="0" w:afterAutospacing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zh-CN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zh-CN"/>
        </w:rPr>
        <w:t>年上半年，镇本级一般公共预算支出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en-US" w:eastAsia="zh-CN"/>
        </w:rPr>
        <w:t>15390.04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zh-CN"/>
        </w:rPr>
        <w:t>万元，完成镇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zh-CN"/>
        </w:rPr>
        <w:t>本级预算支出的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en-US" w:eastAsia="zh-CN"/>
        </w:rPr>
        <w:t>50.32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val="zh-CN"/>
        </w:rPr>
        <w:t xml:space="preserve"> %。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highlight w:val="none"/>
          <w:lang w:val="en-US" w:eastAsia="zh-CN" w:bidi="ar-SA"/>
        </w:rPr>
        <w:t>具体支出如下：</w:t>
      </w:r>
    </w:p>
    <w:p w14:paraId="1FBA7E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6203.81万元，已执行2916.81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执行率为47.02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其中：</w:t>
      </w:r>
    </w:p>
    <w:p w14:paraId="2FC18B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人大事务支出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9.81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万元。主要用于人大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工作经费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635065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（2）行政运行支出982.44万元。主要用于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行政机关人员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工资、福利费、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公用经费、各部门工作经费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等支出。</w:t>
      </w:r>
    </w:p>
    <w:p w14:paraId="71F874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（3）财政事务支出78.37万元。主要用于财政所运行支出。</w:t>
      </w:r>
    </w:p>
    <w:p w14:paraId="6A4D097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（4）纪检监察事务支出0.09万元。主要用于纪委专项工作经费支出。</w:t>
      </w:r>
    </w:p>
    <w:p w14:paraId="7E7433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（5）其他商贸事务支出1220.99万元。主要用于经发中心运行、退职留用村干部经费、财政下拨村补助资金、土地补偿款等支出。</w:t>
      </w:r>
    </w:p>
    <w:p w14:paraId="61E506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（6）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群众团体事务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支出18.53万元。主要用于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工会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妇联和共青团组织等支出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1051343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（7）其他组织事务支出413.88万元。主要用于社区工作者经费、组织部门工作经费等支出。</w:t>
      </w:r>
    </w:p>
    <w:p w14:paraId="19D0F9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（8）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事业运行支出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180.71万元。主要用于党群服务中心运行支出。</w:t>
      </w:r>
    </w:p>
    <w:p w14:paraId="5CF16A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（9）党务支出11.99万元。主要用于基层党务工作者工作经费、党建品牌建设经费等支出。</w:t>
      </w:r>
    </w:p>
    <w:p w14:paraId="09C59F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2.教育支出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59.90万元，已执行26.15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执行率为43.66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“六一”节学生纪念品、乡村幼教等人员补贴、五位教师补差工资支出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2C42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文化体育与传媒支出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86万元，已执行19.17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执行率为22.29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主要用于文化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体育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社区文化活动中心经费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精神文明建设经费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等支出。</w:t>
      </w:r>
    </w:p>
    <w:p w14:paraId="77D1E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.社会保障和就业支出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7040.10万元，已执行3320.35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执行率为47.16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其中：</w:t>
      </w:r>
    </w:p>
    <w:p w14:paraId="52939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）一般行政管理事务支出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732.44万元。主要用于老年津贴、特困供养、小乡及老村干部补贴、重残无业补贴等支出。</w:t>
      </w:r>
    </w:p>
    <w:p w14:paraId="0F6945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（2）基层政权建设和社区治理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57.56万元。主要用于竖新镇创业孵化园区运营及维修、居委会工作经费、社工工会费、油桥村社区长者食堂经费等支出。</w:t>
      </w:r>
    </w:p>
    <w:p w14:paraId="4C4990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（3）其他民政管理事务支出187.62万元。主要用于受理中心运行支出。</w:t>
      </w:r>
    </w:p>
    <w:p w14:paraId="432761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（4）行政事业单位养老支出493.71万元。主要用于行政机关及事业单位退休人员生活补贴、行政机关及事业单位养老保险等支出。</w:t>
      </w:r>
    </w:p>
    <w:p w14:paraId="315EC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（5）公益性岗位补贴支出1765万元。主要用于生态就业岗位经费支出。</w:t>
      </w:r>
    </w:p>
    <w:p w14:paraId="665E68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（6）殡葬支出3万元。主要用于仙桥村公益性墓地落葬补贴支出。</w:t>
      </w:r>
    </w:p>
    <w:p w14:paraId="13411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（7）其他红十字事业支出2.22万元。主要用于康复协会会费、红十字服务总站建设及活动开展支出。</w:t>
      </w:r>
    </w:p>
    <w:p w14:paraId="7E94E6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（8）临时救助支出30万元。主要用于临时帮扶、年终慰问贫困户支出。</w:t>
      </w:r>
    </w:p>
    <w:p w14:paraId="58F4408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（9）拥军优属支出48.80万元。主要用于双拥优抚工作经费支出。</w:t>
      </w:r>
    </w:p>
    <w:p w14:paraId="4D315EF3">
      <w:pPr>
        <w:spacing w:line="560" w:lineRule="exact"/>
        <w:ind w:left="0" w:leftChars="0" w:firstLine="643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.卫生健康支出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370.06万元，已执行136.20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执行率为36.80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行政机关及事业单位医保缴费、食品安全经费、爱卫会经费、计生专项经费等支出。</w:t>
      </w:r>
    </w:p>
    <w:p w14:paraId="70498CF5">
      <w:pPr>
        <w:spacing w:line="560" w:lineRule="exact"/>
        <w:ind w:left="0" w:leftChars="0" w:firstLine="643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.节能环保支出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464.65万元，已执行133.72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执行率为28.78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市容环境事务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市政站经费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、清运队补差工资等支出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2B17999">
      <w:pPr>
        <w:spacing w:line="560" w:lineRule="exact"/>
        <w:ind w:left="0" w:leftChars="0" w:firstLine="643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.城乡社区事务支出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1042.33万元，已执行550.90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执行率为52.85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综合行政执法队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城运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中心运行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城建中心运行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农民集中居住土地流转费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、公路管理站人员经费等支出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DF6EAAF">
      <w:pPr>
        <w:spacing w:line="560" w:lineRule="exact"/>
        <w:ind w:left="0" w:leftChars="0" w:firstLine="643" w:firstLineChars="200"/>
        <w:rPr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.农林水事务支出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1005.35万元，已执行503.74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执行率为50.11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主要用于农技中心运行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水务所运行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公益林土地流转费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、廊道土地流转费等支出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62E0E7F1">
      <w:pPr>
        <w:spacing w:line="560" w:lineRule="exact"/>
        <w:ind w:left="0" w:leftChars="0" w:firstLine="643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.其他支持中小企业发展和管理支出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13425.75万元，已执行7342.40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执行率为54.69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主要用于经济小区运行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、招商窗口奖励及企业扶持资金支出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6EEA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.住房保障支出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887.80万元，已执行440.60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执行率为49.63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事业单位人员的住房公积金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住房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72A58F12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区对乡镇专项转移支付收入情况</w:t>
      </w:r>
    </w:p>
    <w:p w14:paraId="00F3916B"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hint="eastAsia" w:ascii="仿宋_GB2312" w:hAnsi="黑体" w:eastAsia="仿宋_GB2312"/>
          <w:bCs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b/>
          <w:bCs w:val="0"/>
          <w:sz w:val="32"/>
          <w:szCs w:val="32"/>
          <w:highlight w:val="none"/>
        </w:rPr>
        <w:t>202</w:t>
      </w:r>
      <w:r>
        <w:rPr>
          <w:rFonts w:hint="eastAsia" w:ascii="仿宋_GB2312" w:hAnsi="黑体" w:eastAsia="仿宋_GB2312"/>
          <w:b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黑体" w:eastAsia="仿宋_GB2312"/>
          <w:b/>
          <w:bCs w:val="0"/>
          <w:sz w:val="32"/>
          <w:szCs w:val="32"/>
          <w:highlight w:val="none"/>
        </w:rPr>
        <w:t>年上半年专项转移支付收入</w:t>
      </w:r>
      <w:r>
        <w:rPr>
          <w:rFonts w:hint="eastAsia" w:ascii="仿宋_GB2312" w:hAnsi="黑体" w:eastAsia="仿宋_GB2312"/>
          <w:b/>
          <w:bCs w:val="0"/>
          <w:sz w:val="32"/>
          <w:szCs w:val="32"/>
          <w:highlight w:val="none"/>
          <w:lang w:val="en-US" w:eastAsia="zh-CN"/>
        </w:rPr>
        <w:t>23133.60</w:t>
      </w:r>
      <w:r>
        <w:rPr>
          <w:rFonts w:hint="eastAsia" w:ascii="仿宋_GB2312" w:hAnsi="黑体" w:eastAsia="仿宋_GB2312"/>
          <w:b/>
          <w:bCs w:val="0"/>
          <w:sz w:val="32"/>
          <w:szCs w:val="32"/>
          <w:highlight w:val="none"/>
        </w:rPr>
        <w:t>万元，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</w:rPr>
        <w:t>其中： 202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</w:rPr>
        <w:t>年下达专项转移支付收入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  <w:lang w:val="en-US" w:eastAsia="zh-CN"/>
        </w:rPr>
        <w:t>15549.38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</w:rPr>
        <w:t>万元，202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</w:rPr>
        <w:t>年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  <w:lang w:val="en-US" w:eastAsia="zh-CN"/>
        </w:rPr>
        <w:t>结转转移支付金额为7584.22万元</w:t>
      </w:r>
      <w:r>
        <w:rPr>
          <w:rFonts w:hint="eastAsia" w:ascii="仿宋_GB2312" w:hAnsi="黑体" w:eastAsia="仿宋_GB2312"/>
          <w:bCs/>
          <w:sz w:val="32"/>
          <w:szCs w:val="32"/>
          <w:highlight w:val="none"/>
        </w:rPr>
        <w:t>。</w:t>
      </w:r>
    </w:p>
    <w:p w14:paraId="5A19750B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</w:rPr>
        <w:t>区对乡镇专项转移支付执行情况</w:t>
      </w:r>
    </w:p>
    <w:p w14:paraId="68CDC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12696.36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“五好两宜”和美乡村项目经费、村级组织绩效评价奖励资金、2022-2024年度造林奖补资金、2023年崇明区美丽乡村建设资金、2023年度第二、三季度农村公路乡村道养护项目经费、2023年度林业养护费、2023年度水利建设专项经费、2023年居家养老服务专项补助、2023年竖新镇仙桥村高标准菜田建设项目经费、植保经费及养护费、乡村振兴示范村奖补资金、城乡医疗救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等支出。</w:t>
      </w:r>
    </w:p>
    <w:p w14:paraId="3EE15369">
      <w:pPr>
        <w:pStyle w:val="2"/>
        <w:numPr>
          <w:ilvl w:val="0"/>
          <w:numId w:val="0"/>
        </w:numPr>
        <w:ind w:leftChars="200"/>
        <w:rPr>
          <w:rFonts w:hint="eastAsia"/>
          <w:highlight w:val="none"/>
          <w:lang w:val="en-US" w:eastAsia="zh-CN"/>
        </w:rPr>
      </w:pPr>
    </w:p>
    <w:p w14:paraId="6730DE49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lang w:val="en-US" w:eastAsia="zh-CN"/>
        </w:rPr>
        <w:t>三、2024 年下半年财政工作重点</w:t>
      </w:r>
    </w:p>
    <w:p w14:paraId="73E00E5C"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下半年，做好财政工作任务艰巨繁重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我们将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继续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深入贯彻落实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镇党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、政府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决策部署，严格按照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人代会有关决议要求，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着力推动乡村振兴高质量发展，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完善财政保障工作机制，切实提高财政资源配置效率和使用效益，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为我镇经济发展提供坚实支撑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2AB2C4C1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（一）提升预算管理效能</w:t>
      </w:r>
    </w:p>
    <w:p w14:paraId="361F1ABB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严格执行镇人大批准的预算，强化预算管理，优化预算分配，规范预算调整调剂行为，严禁无预算、超预算列支。进一步完善国库集中支付制度，提高预算执行质量。健全预算绩效管理体系，围绕镇级部署和重大财税政策落实情况开展绩效评价，结合评价结果合理调整支出政策和预算安排。加强预算公开，提高预算透明度。</w:t>
      </w:r>
    </w:p>
    <w:p w14:paraId="0FF179B2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）加强财会监督</w:t>
      </w:r>
    </w:p>
    <w:p w14:paraId="72D1F775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认真落实镇人大提出的意见建议，主动接受、积极配合人大、纪委的监督，全力防范各类违规违纪违法风险。强化财会监管制度，完善财会工作机制，优化财会监督方式，坚持日常监督与专项监督、线上监督与线下监督、事前事中事后监督相结合，发现问题与落实整改一体推进，切实提高财会监督效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03A15CE1"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shd w:val="clear" w:color="auto" w:fill="FFFFFF"/>
          <w:lang w:eastAsia="zh-CN"/>
        </w:rPr>
        <w:t>（三）持续落实“过紧日子”要求</w:t>
      </w:r>
    </w:p>
    <w:p w14:paraId="7A7D2E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牢固树立艰苦奋斗、勤俭节约思想，将过“紧日子”的要求贯穿预算管理全过程，在合理保障部门履职支出的基础上，严格控制一般性支出，从严从紧安排非刚性、非重点项目支出，加强政府采购预算管理，节约政府采购成本。坚持精打细算，把钱用在刀刃上，不折不扣落实各项“过紧日子”要求。</w:t>
      </w:r>
    </w:p>
    <w:p w14:paraId="15E227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各位代表，同志们，下半年，我们将继续在镇党委、政府的领导下，在镇人大的监督下，在各部门和社会各界的支持下，全面贯彻新发展理念，主动融入新发展格局，奋力完成全年预算和各项财政工作任务，为竖新实现乡村振兴高质量发展，绘就和美乡村画卷贡献财政力量！</w:t>
      </w:r>
    </w:p>
    <w:p w14:paraId="4532BE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ECC86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C1AB069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1AB069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iODAyNjVkOGFkOGI3M2Y0Yjk5ZjQwNTY5MWRlZTcifQ=="/>
  </w:docVars>
  <w:rsids>
    <w:rsidRoot w:val="00000000"/>
    <w:rsid w:val="5BEB03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4888</Words>
  <Characters>5591</Characters>
  <Paragraphs>97</Paragraphs>
  <TotalTime>5</TotalTime>
  <ScaleCrop>false</ScaleCrop>
  <LinksUpToDate>false</LinksUpToDate>
  <CharactersWithSpaces>5597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2021-06-22T00:02:00Z</dcterms:created>
  <dc:creator>CC</dc:creator>
  <cp:lastModifiedBy>yoyomommy</cp:lastModifiedBy>
  <cp:lastPrinted>2024-08-27T00:33:10Z</cp:lastPrinted>
  <dcterms:modified xsi:type="dcterms:W3CDTF">2024-08-27T00:33:57Z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B1D41BDF813F45ABB6D5B0C9A07B4E25_13</vt:lpwstr>
  </property>
</Properties>
</file>