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2022年崇明区农业农村委员会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行政执法案卷自查报告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pacing w:line="560" w:lineRule="exact"/>
        <w:jc w:val="center"/>
        <w:textAlignment w:val="auto"/>
        <w:rPr>
          <w:rFonts w:ascii="仿宋" w:hAnsi="仿宋" w:eastAsia="仿宋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根据区司法局《开展行政执法案卷评查工作的通知》要求，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我委</w:t>
      </w:r>
      <w:r>
        <w:rPr>
          <w:rFonts w:hint="eastAsia" w:ascii="仿宋_GB2312" w:hAnsi="仿宋_GB2312" w:eastAsia="仿宋_GB2312" w:cs="仿宋_GB2312"/>
          <w:sz w:val="32"/>
          <w:szCs w:val="32"/>
        </w:rPr>
        <w:t>就2022年1月1日至2022年10月1日的行政处罚案卷认真进行了自查，现将自查情况汇报如下：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我委</w:t>
      </w:r>
      <w:r>
        <w:rPr>
          <w:rFonts w:hint="eastAsia" w:ascii="仿宋_GB2312" w:hAnsi="仿宋_GB2312" w:eastAsia="仿宋_GB2312" w:cs="仿宋_GB2312"/>
          <w:sz w:val="32"/>
          <w:szCs w:val="32"/>
        </w:rPr>
        <w:t>认真对照处罚案卷评查内容，重点对违法事实、证据材料、处罚程序、依据的法律条款、自由裁量等内容逐项进行了全面、彻底自查。2022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年1月1日至2022年10月1日区农业农村委共办结行政执法案件42件，罚没款共计80361元，其中渔业案件29件，动物卫生案件12 件，种植业案件1件。从案卷自查的情况来看，行政执法案卷质量有较大提升。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(一) 主体合法、职责法定。</w:t>
      </w:r>
      <w:r>
        <w:rPr>
          <w:rFonts w:hint="eastAsia" w:ascii="仿宋_GB2312" w:hAnsi="仿宋_GB2312" w:eastAsia="仿宋_GB2312" w:cs="仿宋_GB2312"/>
          <w:sz w:val="32"/>
          <w:szCs w:val="32"/>
        </w:rPr>
        <w:t>所办理的案件均属崇明区农业农村委员会行政执法的职权范围，无越权管理、越权处罚、滥用职权的行为，部分案件为公安移送案件;所有办案执法人员均取得行政执法资格，都做到持证上岗，亮证执法。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(二) 程序合法、手续完备。</w:t>
      </w:r>
      <w:r>
        <w:rPr>
          <w:rFonts w:hint="eastAsia" w:ascii="仿宋_GB2312" w:hAnsi="仿宋_GB2312" w:eastAsia="仿宋_GB2312" w:cs="仿宋_GB2312"/>
          <w:sz w:val="32"/>
          <w:szCs w:val="32"/>
        </w:rPr>
        <w:t>执法办案均严格按照立案、调查取证、事先告知、审查决定、送达和执行等法定程序依次进行，依法告知当事人的陈述、申辩和听证权利，现场处理案件，当事人放弃陈述申辩的，均签署了放弃陈述申辩声明，充分保障当事人的合法权益；当场收缴罚款的均出具了财政局盖章的收据，执法人员均能在抵岸2天内将罚款上交，执法办案的每个步骤都严谨规范，每个审批环节都有相应责任人员签字确认，每个案件都由机关负责人签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(三) 事实清楚、证据齐全。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处罚案件所认定的违法事实既有合法有效的现场勘验笔录、当事人询问笔录、书证材料、视听资料，还有相关职能部门的协查报告，较多种类证据的关联性、法律证明力较强，对当事人违法事实认定比较清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 xml:space="preserve"> 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(四) 裁量合理、处罚适当。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法定程序，充分听取当事人的陈述和申辩，案件处理意见书中均能客观分析当事人违法行为的具体情节、性质、主客观原因、社会危害程度等，严格遵守行政处罚法第五条规定的公正、公开原则和过罚相当原则，并能引用上海市各项行政处罚自由裁量基准，重大案件集体讨论决定，适用法律依据正确，适用法律条款准确，作出的处罚决定合法合理，当事人均无异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(五) 行刑衔接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，联合执法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在长江禁捕、农产品质量安全等方面，加强了和公安的合作办案，在42起案件中，涉及行刑衔接的案件有5起。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(六)制作规范、归档及时。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按照行政处罚案卷评查标准的要求，行政处罚案卷文书制作比较规范，案件卷宗整理做到一案一卷，且格式统一、目录清晰、排序一致、材料齐全、装订整齐，案卷比较整洁，并及时进行归档保存。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（七）办案严谨、责任明确。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严格执行执法责任制，按照“谁主管、谁负责”的原则，将工作职责明确到岗、落实到人。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二、执法成效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（一）规范落实行政执法三项制度，贯彻法治政府建设要求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我委</w:t>
      </w:r>
      <w:r>
        <w:rPr>
          <w:rFonts w:hint="eastAsia" w:ascii="仿宋_GB2312" w:hAnsi="仿宋_GB2312" w:eastAsia="仿宋_GB2312" w:cs="仿宋_GB2312"/>
          <w:sz w:val="32"/>
          <w:szCs w:val="32"/>
        </w:rPr>
        <w:t>在执法过程中严格遵守《行政处罚法》及执行行政执法“三项制度”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一是实行行政执法公示制度，确保每一起行政处罚的案件上报进行公示，二是严格执行案件处理实行全过程记录制度，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我委</w:t>
      </w:r>
      <w:r>
        <w:rPr>
          <w:rFonts w:hint="eastAsia" w:ascii="仿宋_GB2312" w:hAnsi="仿宋_GB2312" w:eastAsia="仿宋_GB2312" w:cs="仿宋_GB2312"/>
          <w:sz w:val="32"/>
          <w:szCs w:val="32"/>
        </w:rPr>
        <w:t>为每一位现场执法人员配备了执法记录仪，由专人负责对执法视频进行定期检查、审核、保存等。三是实行重大案件集体讨论。目前为止，我们所有行政处罚案件无一件行政复议和行政诉讼案件。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（二）以执法促法治宣传，提升公众法治意识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一年来，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我委</w:t>
      </w:r>
      <w:r>
        <w:rPr>
          <w:rFonts w:hint="eastAsia" w:ascii="仿宋_GB2312" w:hAnsi="仿宋_GB2312" w:eastAsia="仿宋_GB2312" w:cs="仿宋_GB2312"/>
          <w:sz w:val="32"/>
          <w:szCs w:val="32"/>
        </w:rPr>
        <w:t>在加强执法检查，查处各类农业行政违法行为的同时，还注重加强普法宣传工作，重点加强长江禁渔、动物防疫、农产品质量安全等法律法规知识宣传普及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一是开展线上普法，通过网络、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崇明三农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微信公众号等媒体，推送农业执法工作动态、以案释法等内容，通过三大通信运营商推送手机短信；二是在做好疫情防控同时，想方设法开展线上线下宣传互动，通过发放宣传资料，制作宣传展板、悬挂横幅等方式营造良好社会氛围。促进广大人民群众自觉守法，提升广大人民群众的法治意识，营造良好社会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三、存在问题与不足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（一）调查取证能力需进一步加强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崇明处于长江内陆水域交汇区，渔业类案件多发，由于在海上或是夜间，当事人无法提供身份证原件，水上及边远地区的案件一般都是现场处理，故案卷材料中当事人身份材料证据欠缺现象时有发生，有时以公安部门网上查询的当事人身份信息作为其身份证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</w:t>
      </w:r>
      <w:r>
        <w:rPr>
          <w:rFonts w:hint="eastAsia" w:ascii="楷体_GB2312" w:hAnsi="楷体_GB2312" w:eastAsia="楷体_GB2312" w:cs="楷体_GB2312"/>
          <w:sz w:val="32"/>
          <w:szCs w:val="32"/>
        </w:rPr>
        <w:t>文书制作方面存在瑕疵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部分案卷的询问笔录中，执法人员的询问不够全面、具体，内容表述不够规范、准确；部分渔政案卷在现场笔录中对违法捕捞现场、捕捞工具等描述过于简单，没有写明“现场进行拍照取证”字样；个别案卷的案由中“涉嫌”两字存在不规范；部分案卷照片类证据没有按照规范要求制作证据页；案件处理意见书制作中存在说理性不强，由于部分法律修订而自由裁量基准没有修订等原因，没有引用自由裁量基准；个别案卷的立案审批表中没有引用农业行政处罚程序规定的内容；部分在部分案件中存在计量单位表述不规范不统一等小瑕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（三）在证据收集制作方面对电子音、视频等证据重视不够，有些视频证据没有作为证据材料在案卷中保存。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（四）对上海市综合执法系统平台应用不够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由于农业行政执法经常在野外、夜间等特殊情况，对综合执法系统平台还停留在学习试用阶段，没有真正在平台上完成一起案件的处理。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四、整改措施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（一）加强队伍建设，提高人员法律素质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针对本次行政执法案卷自查存在的主要问题，我们将进一步落实行政执法责任制，严格执行各项行政执法制度，提升案件查处能力，增强案卷制作水平，规范行使自由裁量权。一是加强执法人员培训，鼓励支持执法人员外出参加各类专业培训，同时我们也通过请进来的方式，针对《行政处罚法》《农业行政执法文书制作规范》等进行重点学习，有效提高执法人员的执法技能、调查取证及案卷制作水准；二是加强内部督查和交流，定期组织内部文书交流活动，相互学习，共同提高；三是积极鼓励执法人员参与司法考试，申请公职律师，增强自身法律知识储备；四是结合每年的人员招聘，重点招录法学类专业的人员，不断充实具有法律专业知识的人才，为提升执法水平、提高案卷质量奠定坚实的基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（二）强化执法监督，保障执法公平公正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不断完善行政监督机制和制度，严格贯彻落实行政执法三项制度，一是严格落实公示制度，通过 “一网通办”及时公示公开行政处罚、权责清单、执法人员执法资格以及“双随机 一公开”事项清单、依据、程序，严格实施执法人员统一服装佩戴执法标识，持证上岗、亮证执法工作要求，通过官网定期公示行政处罚情况，接受群众监督；二是积极推进执法全过程记录制度，执法人员外出执法全程开启执法记录仪；落实专人进行的日常监督，对在执法过程中存在的问题及时进行反馈整改；三是执行重大行政执法决定法制审核制度，依据上海市落实《农业行政执法程序规定》实施细则，实行分级审核，重大案件由农业农村委法制机构进行审核，加强对行政处罚案件的程序和自由裁量权进行监督审核，防止程序违法。加强对一般案件法制审核，重点对执法程序，证据采集保存，文书制作规范性等进行审核，及时发现并指出存在问题，不断规范执法程序，提高办案质量，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）</w:t>
      </w:r>
      <w:r>
        <w:rPr>
          <w:rFonts w:hint="eastAsia" w:ascii="楷体_GB2312" w:hAnsi="楷体_GB2312" w:eastAsia="楷体_GB2312" w:cs="楷体_GB2312"/>
          <w:sz w:val="32"/>
          <w:szCs w:val="32"/>
        </w:rPr>
        <w:t>推进上海市综合执法系统平台的操作使用及案卷整理归档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继续加强对执法人员的培训，提高对执法系统平台的重视程度，提升对平台的操作使用能力，推动平台办案。同时根据案卷整理归档要求做好案卷归档，不断提升单位的整体执法水平。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上海市</w:t>
      </w:r>
      <w:r>
        <w:rPr>
          <w:rFonts w:hint="eastAsia" w:ascii="仿宋_GB2312" w:hAnsi="仿宋_GB2312" w:eastAsia="仿宋_GB2312" w:cs="仿宋_GB2312"/>
          <w:sz w:val="32"/>
          <w:szCs w:val="32"/>
        </w:rPr>
        <w:t>崇明区农业农村委员会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2022年10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right"/>
        <w:textAlignment w:val="auto"/>
        <w:outlineLvl w:val="9"/>
        <w:rPr>
          <w:rFonts w:hint="eastAsia" w:ascii="仿宋_GB2312" w:hAnsi="仿宋_GB2312" w:eastAsia="仿宋_GB2312" w:cs="仿宋_GB2312"/>
        </w:rPr>
      </w:pPr>
    </w:p>
    <w:sectPr>
      <w:footerReference r:id="rId3" w:type="default"/>
      <w:pgSz w:w="11906" w:h="16838"/>
      <w:pgMar w:top="2098" w:right="1474" w:bottom="198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93244513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5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00F536E1"/>
    <w:rsid w:val="000A7B4D"/>
    <w:rsid w:val="000B723C"/>
    <w:rsid w:val="000E5FBC"/>
    <w:rsid w:val="00182F6C"/>
    <w:rsid w:val="001B69B1"/>
    <w:rsid w:val="001C240F"/>
    <w:rsid w:val="00204824"/>
    <w:rsid w:val="00232847"/>
    <w:rsid w:val="002329CC"/>
    <w:rsid w:val="00273CBB"/>
    <w:rsid w:val="002E6790"/>
    <w:rsid w:val="003012A5"/>
    <w:rsid w:val="00382D28"/>
    <w:rsid w:val="00391217"/>
    <w:rsid w:val="004A4457"/>
    <w:rsid w:val="004A628F"/>
    <w:rsid w:val="004D2445"/>
    <w:rsid w:val="004F0BC3"/>
    <w:rsid w:val="004F526B"/>
    <w:rsid w:val="0054604D"/>
    <w:rsid w:val="005857B7"/>
    <w:rsid w:val="00592F61"/>
    <w:rsid w:val="005C12C9"/>
    <w:rsid w:val="005C47E6"/>
    <w:rsid w:val="00612CC6"/>
    <w:rsid w:val="00683F60"/>
    <w:rsid w:val="00685977"/>
    <w:rsid w:val="006B1204"/>
    <w:rsid w:val="006B51F1"/>
    <w:rsid w:val="006F7FB8"/>
    <w:rsid w:val="00734D24"/>
    <w:rsid w:val="00747BE4"/>
    <w:rsid w:val="00797FF9"/>
    <w:rsid w:val="007A1D52"/>
    <w:rsid w:val="007C4D9E"/>
    <w:rsid w:val="0081223C"/>
    <w:rsid w:val="00812C49"/>
    <w:rsid w:val="008944A6"/>
    <w:rsid w:val="008C60CA"/>
    <w:rsid w:val="008C6508"/>
    <w:rsid w:val="008D6E6A"/>
    <w:rsid w:val="008E4822"/>
    <w:rsid w:val="008F0363"/>
    <w:rsid w:val="00904B48"/>
    <w:rsid w:val="00933087"/>
    <w:rsid w:val="00934281"/>
    <w:rsid w:val="0094127F"/>
    <w:rsid w:val="00990934"/>
    <w:rsid w:val="009B5085"/>
    <w:rsid w:val="00A03BCA"/>
    <w:rsid w:val="00A2697C"/>
    <w:rsid w:val="00A27987"/>
    <w:rsid w:val="00A45C06"/>
    <w:rsid w:val="00A93C0F"/>
    <w:rsid w:val="00AA0E36"/>
    <w:rsid w:val="00AC0C0E"/>
    <w:rsid w:val="00AF6A10"/>
    <w:rsid w:val="00B356BF"/>
    <w:rsid w:val="00B37D41"/>
    <w:rsid w:val="00B504AB"/>
    <w:rsid w:val="00B63B33"/>
    <w:rsid w:val="00B71728"/>
    <w:rsid w:val="00B77455"/>
    <w:rsid w:val="00B86063"/>
    <w:rsid w:val="00B9577B"/>
    <w:rsid w:val="00BB5DE9"/>
    <w:rsid w:val="00C418A8"/>
    <w:rsid w:val="00C559A0"/>
    <w:rsid w:val="00C70741"/>
    <w:rsid w:val="00CA398D"/>
    <w:rsid w:val="00CC69D9"/>
    <w:rsid w:val="00CF62AA"/>
    <w:rsid w:val="00D33116"/>
    <w:rsid w:val="00D77E5E"/>
    <w:rsid w:val="00DC7DB6"/>
    <w:rsid w:val="00DD763D"/>
    <w:rsid w:val="00DE6D63"/>
    <w:rsid w:val="00E4253C"/>
    <w:rsid w:val="00E53C7E"/>
    <w:rsid w:val="00E91119"/>
    <w:rsid w:val="00EB0855"/>
    <w:rsid w:val="00ED1E70"/>
    <w:rsid w:val="00EE07FF"/>
    <w:rsid w:val="00EE22E0"/>
    <w:rsid w:val="00EE7272"/>
    <w:rsid w:val="00F018FD"/>
    <w:rsid w:val="00F26A24"/>
    <w:rsid w:val="00F33450"/>
    <w:rsid w:val="00F369A1"/>
    <w:rsid w:val="00F536E1"/>
    <w:rsid w:val="00F70EA1"/>
    <w:rsid w:val="00F8544E"/>
    <w:rsid w:val="00F9122F"/>
    <w:rsid w:val="00FB21F3"/>
    <w:rsid w:val="00FC0C52"/>
    <w:rsid w:val="00FD1C02"/>
    <w:rsid w:val="00FE6AD2"/>
    <w:rsid w:val="07C62BAB"/>
    <w:rsid w:val="14C42697"/>
    <w:rsid w:val="22D976C9"/>
    <w:rsid w:val="3AE32A84"/>
    <w:rsid w:val="3C6B7ACC"/>
    <w:rsid w:val="474205F4"/>
    <w:rsid w:val="714C4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unhideWhenUsed/>
    <w:qFormat/>
    <w:uiPriority w:val="0"/>
    <w:pPr>
      <w:widowControl/>
      <w:spacing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9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uiPriority w:val="99"/>
    <w:rPr>
      <w:sz w:val="18"/>
      <w:szCs w:val="18"/>
    </w:rPr>
  </w:style>
  <w:style w:type="character" w:customStyle="1" w:styleId="11">
    <w:name w:val="标题 1 Char"/>
    <w:basedOn w:val="8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2">
    <w:name w:val="页眉 字符"/>
    <w:qFormat/>
    <w:uiPriority w:val="0"/>
    <w:rPr>
      <w:kern w:val="2"/>
      <w:sz w:val="18"/>
      <w:szCs w:val="18"/>
    </w:rPr>
  </w:style>
  <w:style w:type="character" w:customStyle="1" w:styleId="13">
    <w:name w:val="批注框文本 Char"/>
    <w:basedOn w:val="8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DDCD3-2640-45B2-8A7F-66E4BE53CAD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2920</Words>
  <Characters>2950</Characters>
  <Lines>21</Lines>
  <Paragraphs>6</Paragraphs>
  <TotalTime>1790</TotalTime>
  <ScaleCrop>false</ScaleCrop>
  <LinksUpToDate>false</LinksUpToDate>
  <CharactersWithSpaces>3010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2022-10-24T01:26:00Z</dcterms:created>
  <dc:creator>AutoBVT</dc:creator>
  <cp:lastModifiedBy>Adobe.Lu</cp:lastModifiedBy>
  <cp:lastPrinted>2022-09-13T01:15:00Z</cp:lastPrinted>
  <dcterms:modified xsi:type="dcterms:W3CDTF">2022-10-27T06:54:30Z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89750D808A5549219421E67FA8FC5875</vt:lpwstr>
  </property>
</Properties>
</file>