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崇明区2022年11月首次创业一次性补贴</w:t>
      </w:r>
    </w:p>
    <w:bookmarkEnd w:id="0"/>
    <w:tbl>
      <w:tblPr>
        <w:tblStyle w:val="5"/>
        <w:tblpPr w:leftFromText="180" w:rightFromText="180" w:vertAnchor="text" w:horzAnchor="page" w:tblpXSpec="center" w:tblpY="943"/>
        <w:tblOverlap w:val="never"/>
        <w:tblW w:w="66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4"/>
        <w:gridCol w:w="3891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11" w:hRule="exact"/>
          <w:jc w:val="center"/>
        </w:trPr>
        <w:tc>
          <w:tcPr>
            <w:tcW w:w="6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89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0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（单位：元）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exact"/>
          <w:jc w:val="center"/>
        </w:trPr>
        <w:tc>
          <w:tcPr>
            <w:tcW w:w="6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8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上海一圣知识产权服务有限公司</w:t>
            </w:r>
          </w:p>
        </w:tc>
        <w:tc>
          <w:tcPr>
            <w:tcW w:w="20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8000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B32DCE"/>
    <w:rsid w:val="5DB3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2022-12-08T06:53:00Z</dcterms:created>
  <dc:creator>Administrator</dc:creator>
  <cp:lastModifiedBy>Administrator</cp:lastModifiedBy>
  <dcterms:modified xsi:type="dcterms:W3CDTF">2022-12-08T06:54:32Z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