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jc w:val="center"/>
        <w:rPr>
          <w:rFonts w:ascii="宋体" w:hAnsiTheme="majorEastAsia"/>
          <w:sz w:val="44"/>
          <w:szCs w:val="44"/>
        </w:rPr>
      </w:pPr>
      <w:bookmarkStart w:id="1" w:name="_GoBack"/>
      <w:r>
        <w:rPr>
          <w:rFonts w:hint="eastAsia" w:ascii="宋体" w:hAnsiTheme="majorEastAsia"/>
          <w:sz w:val="44"/>
          <w:szCs w:val="44"/>
        </w:rPr>
        <w:t>崇明区教育改革和发展“十四五”规划</w:t>
      </w:r>
    </w:p>
    <w:p>
      <w:pPr>
        <w:adjustRightInd w:val="0"/>
        <w:snapToGrid w:val="0"/>
        <w:spacing w:line="560" w:lineRule="exact"/>
        <w:jc w:val="center"/>
        <w:rPr>
          <w:rFonts w:ascii="楷体" w:hAnsi="楷体" w:eastAsia="楷体"/>
          <w:sz w:val="32"/>
          <w:szCs w:val="32"/>
        </w:rPr>
      </w:pPr>
      <w:r>
        <w:rPr>
          <w:rFonts w:hint="eastAsia" w:ascii="楷体" w:hAnsi="楷体" w:eastAsia="楷体"/>
          <w:sz w:val="32"/>
          <w:szCs w:val="32"/>
        </w:rPr>
        <w:t>(草案)</w:t>
      </w:r>
    </w:p>
    <w:bookmarkEnd w:id="1"/>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为进一步办好人民满意的教育，建设与世界级生态岛相匹配的一流教育，促进学生全面而有个性的发展，显著提高教育服务经济社会发展的能级和水平，根据《上海教育现代化2035》《上海市教育改革和发展“十四五”规划》《上海市崇明区总体规划（201</w:t>
      </w:r>
      <w:r>
        <w:rPr>
          <w:rFonts w:ascii="仿宋_GB2312" w:hAnsi="仿宋" w:eastAsia="仿宋_GB2312"/>
          <w:sz w:val="32"/>
          <w:szCs w:val="32"/>
        </w:rPr>
        <w:t>7</w:t>
      </w:r>
      <w:r>
        <w:rPr>
          <w:rFonts w:hint="eastAsia" w:ascii="仿宋_GB2312" w:hAnsi="仿宋" w:eastAsia="仿宋_GB2312"/>
          <w:sz w:val="32"/>
          <w:szCs w:val="32"/>
        </w:rPr>
        <w:t>-2035）》《上海市崇明区国民经济和社会发展第十四个五年发展规划》等，制定本规划。</w:t>
      </w:r>
    </w:p>
    <w:p>
      <w:p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一、发展</w:t>
      </w:r>
      <w:r>
        <w:rPr>
          <w:rFonts w:ascii="黑体" w:hAnsi="黑体" w:eastAsia="黑体"/>
          <w:sz w:val="32"/>
          <w:szCs w:val="32"/>
        </w:rPr>
        <w:t>回顾和形势</w:t>
      </w:r>
      <w:r>
        <w:rPr>
          <w:rFonts w:hint="eastAsia" w:ascii="黑体" w:hAnsi="黑体" w:eastAsia="黑体"/>
          <w:sz w:val="32"/>
          <w:szCs w:val="32"/>
        </w:rPr>
        <w:t>挑战</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（一）“十三五”发展回顾</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教育资源布局进一步优化。</w:t>
      </w:r>
      <w:r>
        <w:rPr>
          <w:rFonts w:hint="eastAsia" w:ascii="仿宋_GB2312" w:hAnsi="仿宋" w:eastAsia="仿宋_GB2312"/>
          <w:sz w:val="32"/>
          <w:szCs w:val="32"/>
        </w:rPr>
        <w:t>“十三五”期间，新建东滩思南路幼儿园、南西新城幼儿园等7所幼儿园，新建上实附属东滩学校、一师附小附属江帆小学等4所中小学，满足重点地区适龄学童入园入学需求；新建工程技术管理学校长兴校区，为区域产业发展提供高素质劳动者；探索“新校+名校”模式，引进4所中心城区优质学校落户崇明；撤并庙镇</w:t>
      </w:r>
      <w:r>
        <w:rPr>
          <w:rFonts w:ascii="仿宋_GB2312" w:hAnsi="仿宋" w:eastAsia="仿宋_GB2312"/>
          <w:sz w:val="32"/>
          <w:szCs w:val="32"/>
        </w:rPr>
        <w:t>小学等2</w:t>
      </w:r>
      <w:r>
        <w:rPr>
          <w:rFonts w:hint="eastAsia" w:ascii="仿宋_GB2312" w:hAnsi="仿宋" w:eastAsia="仿宋_GB2312"/>
          <w:sz w:val="32"/>
          <w:szCs w:val="32"/>
        </w:rPr>
        <w:t>5所农村小规模学校，推动紧密型集团化办学，促进教育资源配置与人口结构变化相协调。</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教育公共服务体系更加完善。</w:t>
      </w:r>
      <w:r>
        <w:rPr>
          <w:rFonts w:hint="eastAsia" w:ascii="仿宋_GB2312" w:hAnsi="仿宋" w:eastAsia="仿宋_GB2312"/>
          <w:sz w:val="32"/>
          <w:szCs w:val="32"/>
        </w:rPr>
        <w:t>贯彻落实《崇明区学前教育三年行动计划》,基本建成0-6岁托幼一体化早教体系，优质园比例达到40%。参与本市义务教育城乡一体化系列建设项目，推进学区化集团化办学、新优质学校建设、城乡携手共进计划、公办初中强校工程和义务教育寄宿制学校建设等，城乡义务教育资源配置基本均衡。高中教育特色发展，城桥中学通过上海市特色普通高中复评。推动职业教育办学模式和人才培养模式创新，工程技术管理学校深化贯通培养，与中国商飞集团、振华港机、航空航天等企业建立校企合作关系。终身教育体系更加完善，老年教育工作在全市保有亮点，2018年本区被教育部认定为全国农村职业教育与社区教育示范县。</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教育教学改革深入推进。</w:t>
      </w:r>
      <w:r>
        <w:rPr>
          <w:rFonts w:hint="eastAsia" w:ascii="仿宋_GB2312" w:hAnsi="仿宋" w:eastAsia="仿宋_GB2312"/>
          <w:sz w:val="32"/>
          <w:szCs w:val="32"/>
        </w:rPr>
        <w:t>培育和践行社会主义核心价值观，</w:t>
      </w:r>
      <w:r>
        <w:rPr>
          <w:rFonts w:hint="eastAsia" w:ascii="仿宋_GB2312" w:hAnsi="仿宋" w:eastAsia="仿宋_GB2312" w:cs="仿宋_GB2312"/>
          <w:color w:val="000000"/>
          <w:kern w:val="0"/>
          <w:sz w:val="32"/>
          <w:szCs w:val="32"/>
        </w:rPr>
        <w:t>推进大中小学德育课程一体化建设，加强德育工作体系、内容体系和队伍体系建设。</w:t>
      </w:r>
      <w:r>
        <w:rPr>
          <w:rFonts w:hint="eastAsia" w:ascii="仿宋_GB2312" w:hAnsi="仿宋" w:eastAsia="仿宋_GB2312"/>
          <w:sz w:val="32"/>
          <w:szCs w:val="32"/>
        </w:rPr>
        <w:t>滚动实施“主动·有效”课堂建设，促进课堂转型，建立区域质量监测机制，完善中高考保障体系。实施健康促进工程，广泛开展阳光体育活动，扎实推进全国青少年校园足球试点区建设工作，</w:t>
      </w:r>
      <w:r>
        <w:rPr>
          <w:rFonts w:hint="eastAsia" w:ascii="仿宋_GB2312" w:hAnsi="仿宋" w:eastAsia="仿宋_GB2312" w:cs="宋体"/>
          <w:kern w:val="0"/>
          <w:sz w:val="32"/>
          <w:szCs w:val="32"/>
        </w:rPr>
        <w:t>21所学校被教育部命名为“全国</w:t>
      </w:r>
      <w:r>
        <w:rPr>
          <w:rFonts w:hint="eastAsia" w:ascii="仿宋_GB2312" w:hAnsi="仿宋" w:eastAsia="仿宋_GB2312"/>
          <w:sz w:val="32"/>
          <w:szCs w:val="32"/>
        </w:rPr>
        <w:t>校园足球特色学校”，学生体质健康优良率达到</w:t>
      </w:r>
      <w:r>
        <w:rPr>
          <w:rFonts w:ascii="仿宋_GB2312" w:hAnsi="仿宋" w:eastAsia="仿宋_GB2312"/>
          <w:sz w:val="32"/>
          <w:szCs w:val="32"/>
        </w:rPr>
        <w:t>50</w:t>
      </w:r>
      <w:r>
        <w:rPr>
          <w:rFonts w:hint="eastAsia" w:ascii="仿宋_GB2312" w:hAnsi="仿宋" w:eastAsia="仿宋_GB2312"/>
          <w:sz w:val="32"/>
          <w:szCs w:val="32"/>
        </w:rPr>
        <w:t>%。实施“全国农村学校艺术实验县”创建工作，有效提升学生艺术素养。完善“生态崇明”课程和教学体系，大力</w:t>
      </w:r>
      <w:r>
        <w:rPr>
          <w:rFonts w:hint="eastAsia" w:ascii="仿宋_GB2312" w:hAnsi="仿宋" w:eastAsia="仿宋_GB2312" w:cs="仿宋"/>
          <w:sz w:val="32"/>
          <w:szCs w:val="32"/>
        </w:rPr>
        <w:t>培育“小生态人”，</w:t>
      </w:r>
      <w:r>
        <w:rPr>
          <w:rFonts w:hint="eastAsia" w:ascii="仿宋_GB2312" w:hAnsi="仿宋" w:eastAsia="仿宋_GB2312"/>
          <w:sz w:val="32"/>
          <w:szCs w:val="32"/>
        </w:rPr>
        <w:t>生态教育综改影响力不断提升。</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师资队伍建设不断加强。</w:t>
      </w:r>
      <w:r>
        <w:rPr>
          <w:rFonts w:hint="eastAsia" w:ascii="仿宋_GB2312" w:hAnsi="仿宋" w:eastAsia="仿宋_GB2312"/>
          <w:sz w:val="32"/>
          <w:szCs w:val="32"/>
        </w:rPr>
        <w:t>加强人才引进和储备工作，“十三五”时期引进教师882名，研究生和师范生比例不断提高。贯彻落实《中共崇明区委区人民政府关于深化新时代教师队伍建设改革的实施意见》，加强师德师风建设，提升教师专业素养，推进教师管理综合改革。完善人才培训培养体系和工作机制，</w:t>
      </w:r>
      <w:r>
        <w:rPr>
          <w:rFonts w:hint="eastAsia" w:ascii="仿宋_GB2312" w:hAnsi="仿宋" w:eastAsia="仿宋_GB2312" w:cs="仿宋_GB2312"/>
          <w:color w:val="000000"/>
          <w:sz w:val="32"/>
          <w:szCs w:val="32"/>
        </w:rPr>
        <w:t>建立一批教师专业发展学校，加大对见习期和</w:t>
      </w:r>
      <w:r>
        <w:rPr>
          <w:rFonts w:hint="eastAsia" w:ascii="仿宋_GB2312" w:hAnsi="仿宋" w:eastAsia="仿宋_GB2312"/>
          <w:sz w:val="32"/>
          <w:szCs w:val="32"/>
        </w:rPr>
        <w:t>成长期教师的培养。</w:t>
      </w:r>
      <w:r>
        <w:rPr>
          <w:rFonts w:hint="eastAsia" w:ascii="仿宋_GB2312" w:hAnsi="仿宋" w:eastAsia="仿宋_GB2312" w:cs="仿宋_GB2312"/>
          <w:color w:val="000000"/>
          <w:sz w:val="32"/>
          <w:szCs w:val="32"/>
        </w:rPr>
        <w:t>抓好骨干教师队伍建设，建立“</w:t>
      </w:r>
      <w:r>
        <w:rPr>
          <w:rFonts w:hint="eastAsia" w:ascii="仿宋_GB2312" w:hAnsi="仿宋" w:eastAsia="仿宋_GB2312"/>
          <w:sz w:val="32"/>
          <w:szCs w:val="32"/>
        </w:rPr>
        <w:t>名师工作室</w:t>
      </w:r>
      <w:r>
        <w:rPr>
          <w:rFonts w:hint="eastAsia" w:ascii="仿宋_GB2312" w:hAnsi="仿宋" w:eastAsia="仿宋_GB2312" w:cs="仿宋_GB2312"/>
          <w:color w:val="000000"/>
          <w:sz w:val="32"/>
          <w:szCs w:val="32"/>
        </w:rPr>
        <w:t>”，发挥</w:t>
      </w:r>
      <w:r>
        <w:rPr>
          <w:rFonts w:hint="eastAsia" w:ascii="仿宋_GB2312" w:hAnsi="仿宋" w:eastAsia="仿宋_GB2312"/>
          <w:sz w:val="32"/>
          <w:szCs w:val="32"/>
        </w:rPr>
        <w:t>区骨干教师引领示范作用。深化绩效工资分配制度改革，教师绩效工资收入水平持续增加。探索义务教育学校和幼儿园教师流动制度，高中、职校、直属单位试行教师全员岗位聘任。</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教育治理体系不断完善。</w:t>
      </w:r>
      <w:r>
        <w:rPr>
          <w:rFonts w:hint="eastAsia" w:ascii="仿宋_GB2312" w:hAnsi="仿宋" w:eastAsia="仿宋_GB2312"/>
          <w:sz w:val="32"/>
          <w:szCs w:val="32"/>
        </w:rPr>
        <w:t>加强党对教育工作的全面领导，成立区委教育工作领导小组。成立6个党建共同体，形成党建三级组织架构，不断促进基层党建工作规范化建设。成立区教育党工委巡检工作组，着力构建廉洁治校治教的体制机制。成立教育系统党建研究会，指导基层党组织开展党建研究工作。实施法律顾问制度，建立以学校章程统领的现代学校制度体系，全区中小学校全部评为依法治校示范校或达标校。加强信息公开力度，自觉接受社会对教育的监督。加强教育督导工作，建立责任督学挂牌督导制度，教育督导体系不断完善。实施体教、医教、文教结合制度，社会支持体系不断完善。</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教育发展水平与人民群众期盼仍有差距。</w:t>
      </w:r>
      <w:r>
        <w:rPr>
          <w:rFonts w:hint="eastAsia" w:ascii="仿宋_GB2312" w:hAnsi="仿宋" w:eastAsia="仿宋_GB2312"/>
          <w:sz w:val="32"/>
          <w:szCs w:val="32"/>
        </w:rPr>
        <w:t>“十三五”期间崇明教育的发展进一步满足了人民群众接受优质教育的需要，教育服务经济社会发展的功能有所增强。但是，崇明教育的发展还存在很多亟待解决的问题，主要表现在：一是教育资源配置与城乡人口结构和分布变化仍不完全适应，广大农村地区资源富余，三个重点发展地区资源紧缺，迫切需要对全区教育资源作科学整合，对学校空间布局作调整优化。二是教育装备水平与教育现代化要求不相适应，计算机、图书馆、智慧教室、基础实验室、创新实验室、信息数据中心等关键装备的配置较为陈旧落后，迫切需要加大教育装备投入，为推动基于信息化的学校管理和大规模因材施教、提升学生综合素养提供强有力的技术支撑。三是校长和教师队伍仍是整个教育的薄弱环节，迫切需要全面提高校长办学治校和教师教书育人的能力水平。四是区域社会教育资源与培养学生综合素养要求不相适应，缺乏校外学习资源和家庭教育资源，迫切需要建立高质量的社会教育资源支持体系。五是教育总体发展水平与世界级生态岛目标定位不相适应，学前教育优质园比例不高，义务教育城乡发展仍有差距，高中教育特色不亮，职业教育开放融合程度不够，高等教育与世界级生态岛创新和策源能力建设不相适应，终身教育的资源供给不足。</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（二）“十四五”面临</w:t>
      </w:r>
      <w:r>
        <w:rPr>
          <w:rFonts w:ascii="楷体_GB2312" w:hAnsi="楷体" w:eastAsia="楷体_GB2312"/>
          <w:sz w:val="32"/>
          <w:szCs w:val="32"/>
        </w:rPr>
        <w:t>的形势挑战</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十四五”时期是上海站在新起点全面深化“五个中心”建设、加快建设具有世界影响力的社会主义现代化国际大都市的关键五年，是崇明推动世界级生态岛建设实现重大突破、加快建成生态美丽幸福、宜居宜业宜游、人与自然和谐共生的新崇明的关键五年，教育事业改革和发展面临的内外部环境都发生深刻变化，崇明教育需要适应新形势、直面新挑战、抢抓新机遇，努力在危机中育先机、在变局中开新局。</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从教育外部看，“十四五”期间崇明世界级生态岛建设事业加快发展、更入佳境，崇明在处于重要的历史机遇叠加期、经济社会换道前行期。乡村振兴战略持续深入实施，高附加值农业体系基本建立，第十届中国花博会隆重举办，东西两条重大交通线对经济社会发展积极带动，千亿级长兴海洋装备产业集群目标确定，高端医疗、教育培训、赛事经济等环保友好型产业相继落地，一切表明，崇明科技创新和产业转型的态势已经或即将呈现，崇明教育应当以更宽视野、更高站位、更大决心去提升服务经济社会发展的能级，充分彰显教育的价值。</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从教育内部看，人民群众对高品质生活的追求和对高质量教育的期待更加迫切，要求教育实现更高质量的发展，提供更有温度的教育服务和泛在灵活的学习体验。习近平总书记在全国教育大会上对办好教育提出的必须坚持把立德树人作为根本任务等“九个坚持”，是崇明教育着眼未来、推进改革创新的根本遵循。党中央、国务院提出的《深化</w:t>
      </w:r>
      <w:r>
        <w:rPr>
          <w:rFonts w:ascii="仿宋_GB2312" w:hAnsi="仿宋" w:eastAsia="仿宋_GB2312"/>
          <w:sz w:val="32"/>
          <w:szCs w:val="32"/>
        </w:rPr>
        <w:t>新时代教育</w:t>
      </w:r>
      <w:r>
        <w:rPr>
          <w:rFonts w:hint="eastAsia" w:ascii="仿宋_GB2312" w:hAnsi="仿宋" w:eastAsia="仿宋_GB2312"/>
          <w:sz w:val="32"/>
          <w:szCs w:val="32"/>
        </w:rPr>
        <w:t>评价</w:t>
      </w:r>
      <w:r>
        <w:rPr>
          <w:rFonts w:ascii="仿宋_GB2312" w:hAnsi="仿宋" w:eastAsia="仿宋_GB2312"/>
          <w:sz w:val="32"/>
          <w:szCs w:val="32"/>
        </w:rPr>
        <w:t>改革总体方案</w:t>
      </w:r>
      <w:r>
        <w:rPr>
          <w:rFonts w:hint="eastAsia" w:ascii="仿宋_GB2312" w:hAnsi="仿宋" w:eastAsia="仿宋_GB2312"/>
          <w:sz w:val="32"/>
          <w:szCs w:val="32"/>
        </w:rPr>
        <w:t>》《关于</w:t>
      </w:r>
      <w:r>
        <w:rPr>
          <w:rFonts w:ascii="仿宋_GB2312" w:hAnsi="仿宋" w:eastAsia="仿宋_GB2312"/>
          <w:sz w:val="32"/>
          <w:szCs w:val="32"/>
        </w:rPr>
        <w:t>深化新时代教育督导体制机制改革的实施意见</w:t>
      </w:r>
      <w:r>
        <w:rPr>
          <w:rFonts w:hint="eastAsia" w:ascii="仿宋_GB2312" w:hAnsi="仿宋" w:eastAsia="仿宋_GB2312"/>
          <w:sz w:val="32"/>
          <w:szCs w:val="32"/>
        </w:rPr>
        <w:t>》和《全面深化新时代教师队伍建设改革的意见》，以及规范发展学前教育、提高义务教育质量、转变高中育人方式、发展开放融合的职业教育等具体要求，是崇明教育推进改革创新的主要着力点。对此，崇明教育应当尊重规律、系统设计，瞄准关键、久久为功，推动促进人的全面发展，全面提高教育质量，充分彰显教育的内在价值。</w:t>
      </w:r>
    </w:p>
    <w:p>
      <w:p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二、指导思想和发展目标</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（一）指导思想</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以习近平新时代中国特色社会主义思想为指导，深入贯彻落实十九大和十九届二中、三中、四中、五中全会精神，深入贯彻落实习近平总书记关于教育的重要论述和全国、市、区教育大会精神，贯彻“人民城市人民建、人民城市为人民”重要理念，加强党对教育工作的全面领导，全面贯彻党的教育方针，坚持立德树人，坚持改革创新，坚持以人民为中心发展教育，遵循教育规律和人才成长规律，培养德智体美劳全面发展的社会主义建设者和接班人，提高教育服务经济社会发展的能级和水平，增强人民群众教育获得感和满意度，为崇明世界级生态岛建设提供坚强有力的人才支撑，为上海加快建设“五个中心”和具有世界影响力的社会主义现代化国际大都市作出积极贡献。</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（二）发展目标</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总体目标是：到2025年，与世界级生态岛相匹配的一流教育的核心特征基本形成，崇明教育现代化水平显著提升，崇明教育服务世界级生态岛建设的能力水平显著提升，人民群众对崇明教育的获得感满意度显著提升，助力每一位学习者接受</w:t>
      </w:r>
      <w:r>
        <w:rPr>
          <w:rFonts w:ascii="仿宋_GB2312" w:hAnsi="仿宋" w:eastAsia="仿宋_GB2312"/>
          <w:sz w:val="32"/>
          <w:szCs w:val="32"/>
        </w:rPr>
        <w:t>优质教育、</w:t>
      </w:r>
      <w:r>
        <w:rPr>
          <w:rFonts w:hint="eastAsia" w:ascii="仿宋_GB2312" w:hAnsi="仿宋" w:eastAsia="仿宋_GB2312"/>
          <w:sz w:val="32"/>
          <w:szCs w:val="32"/>
        </w:rPr>
        <w:t>拥有出彩机会、成就人生理想，崇明教育事业发展的主要指标接近全市水平。</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具体目标是：</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服务学生全面发展的教育体系更趋完善。以学生发展为中心，构建形成德智体美劳“五育融合”的育人体系，更好服务每一位学生全面而有个性的发展，学生综合素质显著增强，必备品德和关键能力不断夯实。各级各类教育协调发展，传统教育和教育新业态互为补充、相得益彰，学校、社会、家庭协同育人机制更加健全。</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基本公共教育服务实现更高水平均等。学前教育实现普及普惠、安全优质、多元包容，中小学图书馆、体育场馆、学生剧场、信息化设备、教室护眼灯光、各类实验室和音乐、美术、劳技教室等重点领域的标准化建设得到有效落实，师资等各类要素资源配置更加优质均衡，城乡、区域、校际差异进一步缩小。家庭经济困难学生资助体系更加健全，特殊群体学生的教育需求得到更好满足。教育资源空间布局更加合理，优质教育服务供给持续扩大，涌现若干示范性教育集团和新优质学校。</w:t>
      </w:r>
    </w:p>
    <w:p>
      <w:pPr>
        <w:adjustRightInd w:val="0"/>
        <w:snapToGrid w:val="0"/>
        <w:spacing w:line="560" w:lineRule="exact"/>
        <w:ind w:firstLine="660"/>
        <w:rPr>
          <w:rFonts w:ascii="仿宋_GB2312" w:hAnsi="仿宋" w:eastAsia="仿宋_GB2312"/>
          <w:sz w:val="32"/>
          <w:szCs w:val="32"/>
        </w:rPr>
      </w:pPr>
      <w:r>
        <w:rPr>
          <w:rFonts w:hint="eastAsia" w:ascii="仿宋_GB2312" w:hAnsi="仿宋" w:eastAsia="仿宋_GB2312"/>
          <w:sz w:val="32"/>
          <w:szCs w:val="32"/>
        </w:rPr>
        <w:t>——校长和教师队伍建设取得显著成效。公办中小学、幼儿园机构编制标准得到有效落实，教师队伍年龄、学历、职称等各类结构更加优化，优良师德蔚然成风，精神状态积极向上，专业素养显著提升，体制机制更加理顺，教师队伍的数量、结构、能力和价值追求更加适应教育现代化发展需要。校园长办学治校的理念、能力和</w:t>
      </w:r>
      <w:r>
        <w:rPr>
          <w:rFonts w:ascii="仿宋_GB2312" w:hAnsi="仿宋" w:eastAsia="仿宋_GB2312"/>
          <w:sz w:val="32"/>
          <w:szCs w:val="32"/>
        </w:rPr>
        <w:t>水平</w:t>
      </w:r>
      <w:r>
        <w:rPr>
          <w:rFonts w:hint="eastAsia" w:ascii="仿宋_GB2312" w:hAnsi="仿宋" w:eastAsia="仿宋_GB2312"/>
          <w:sz w:val="32"/>
          <w:szCs w:val="32"/>
        </w:rPr>
        <w:t>得到新的更大提升。</w:t>
      </w:r>
    </w:p>
    <w:p>
      <w:pPr>
        <w:adjustRightInd w:val="0"/>
        <w:snapToGrid w:val="0"/>
        <w:spacing w:line="560" w:lineRule="exact"/>
        <w:ind w:firstLine="660"/>
        <w:rPr>
          <w:rFonts w:ascii="仿宋_GB2312" w:hAnsi="仿宋" w:eastAsia="仿宋_GB2312"/>
          <w:sz w:val="32"/>
          <w:szCs w:val="32"/>
        </w:rPr>
      </w:pPr>
      <w:r>
        <w:rPr>
          <w:rFonts w:hint="eastAsia" w:ascii="仿宋_GB2312" w:hAnsi="仿宋" w:eastAsia="仿宋_GB2312"/>
          <w:sz w:val="32"/>
          <w:szCs w:val="32"/>
        </w:rPr>
        <w:t>——教育服务经济社会发展能力显著增强。基础教育对未成年人思想道德教育和人的全面发展产生更加重要的基础性作用。职业教育服务区域产业发展能力显著增强，生产和服务一线从业人员普遍接受职业技能培训。终身教育无处不在、灵活可选，更好满足学习者终身学习、个性化学习的需要。高等教育高位起步，国际国内高水平大学落户崇明，高校服务生态岛建设的创新策源能力全面增强。新增劳动力受教育年限进一步提高。</w:t>
      </w:r>
    </w:p>
    <w:p>
      <w:pPr>
        <w:adjustRightInd w:val="0"/>
        <w:snapToGrid w:val="0"/>
        <w:spacing w:line="560" w:lineRule="exact"/>
        <w:ind w:firstLine="660"/>
        <w:rPr>
          <w:rFonts w:ascii="仿宋_GB2312" w:hAnsi="仿宋" w:eastAsia="仿宋_GB2312"/>
          <w:sz w:val="32"/>
          <w:szCs w:val="32"/>
        </w:rPr>
      </w:pPr>
      <w:r>
        <w:rPr>
          <w:rFonts w:hint="eastAsia" w:ascii="仿宋_GB2312" w:hAnsi="仿宋" w:eastAsia="仿宋_GB2312"/>
          <w:sz w:val="32"/>
          <w:szCs w:val="32"/>
        </w:rPr>
        <w:t>主要发展指标：确保教育优先发展地位，教育经费投入保持“两个只增不减”，生均公用经费投入稳步增长。学前三年毛入园保持99%以上，公办市一级园达到50%以上、示范园达到10%以上，普惠性</w:t>
      </w:r>
      <w:r>
        <w:rPr>
          <w:rFonts w:ascii="仿宋_GB2312" w:hAnsi="仿宋" w:eastAsia="仿宋_GB2312"/>
          <w:sz w:val="32"/>
          <w:szCs w:val="32"/>
        </w:rPr>
        <w:t>托育点乡镇覆盖率达到</w:t>
      </w:r>
      <w:r>
        <w:rPr>
          <w:rFonts w:hint="eastAsia" w:ascii="仿宋_GB2312" w:hAnsi="仿宋" w:eastAsia="仿宋_GB2312"/>
          <w:sz w:val="32"/>
          <w:szCs w:val="32"/>
        </w:rPr>
        <w:t>85%以上。义务教育阶段毛入学率保持99%以上，城乡义务教育资源配置全面达标，城乡和校际差异进一步缩小，均衡化达到较高水平。高中阶段毛入学率保持99%以上，市实验性示范性高中和公办特色普通高中达到3所。中小学生体质健康优良率达到55%以上，体育素养水平指数达到80以上，学生近视率每年下降1%。形成泛在可选的终身教育体系，新增劳动力人均受教育年限达到14.5年以上。基础教育平均师生比过高现象得到较大缓解，新进教师研究生学历占20%以上，职业教育“双师型”教师比例达到65%，全区特级教师、特级校长和正高级教师数量达到40人左右。</w:t>
      </w:r>
    </w:p>
    <w:p>
      <w:pPr>
        <w:adjustRightInd w:val="0"/>
        <w:snapToGrid w:val="0"/>
        <w:spacing w:line="560" w:lineRule="exact"/>
        <w:jc w:val="center"/>
        <w:rPr>
          <w:rFonts w:ascii="宋体" w:hAnsi="楷体"/>
          <w:sz w:val="32"/>
          <w:szCs w:val="32"/>
        </w:rPr>
      </w:pPr>
      <w:r>
        <w:rPr>
          <w:rFonts w:hint="eastAsia" w:ascii="宋体" w:hAnsi="楷体"/>
          <w:sz w:val="32"/>
          <w:szCs w:val="32"/>
        </w:rPr>
        <w:t>崇明教育“十四五”主要发展指标</w:t>
      </w:r>
    </w:p>
    <w:tbl>
      <w:tblPr>
        <w:tblStyle w:val="5"/>
        <w:tblW w:w="89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
        <w:gridCol w:w="3118"/>
        <w:gridCol w:w="1418"/>
        <w:gridCol w:w="2410"/>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adjustRightInd w:val="0"/>
              <w:snapToGrid w:val="0"/>
              <w:spacing w:line="560" w:lineRule="exact"/>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3118" w:type="dxa"/>
          </w:tcPr>
          <w:p>
            <w:pPr>
              <w:adjustRightInd w:val="0"/>
              <w:snapToGrid w:val="0"/>
              <w:spacing w:line="560" w:lineRule="exact"/>
              <w:ind w:firstLine="600"/>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指标名称</w:t>
            </w:r>
          </w:p>
        </w:tc>
        <w:tc>
          <w:tcPr>
            <w:tcW w:w="1418" w:type="dxa"/>
          </w:tcPr>
          <w:p>
            <w:pPr>
              <w:adjustRightInd w:val="0"/>
              <w:snapToGrid w:val="0"/>
              <w:spacing w:line="560" w:lineRule="exact"/>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现状</w:t>
            </w:r>
          </w:p>
        </w:tc>
        <w:tc>
          <w:tcPr>
            <w:tcW w:w="2410" w:type="dxa"/>
          </w:tcPr>
          <w:p>
            <w:pPr>
              <w:adjustRightInd w:val="0"/>
              <w:snapToGrid w:val="0"/>
              <w:spacing w:line="560" w:lineRule="exact"/>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目标</w:t>
            </w:r>
          </w:p>
        </w:tc>
        <w:tc>
          <w:tcPr>
            <w:tcW w:w="1134" w:type="dxa"/>
          </w:tcPr>
          <w:p>
            <w:pPr>
              <w:adjustRightInd w:val="0"/>
              <w:snapToGrid w:val="0"/>
              <w:spacing w:line="560" w:lineRule="exact"/>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学前三年毛入园率</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99%</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保持高水平</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2</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义务教育毛入学率</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99%</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保持高水平</w:t>
            </w:r>
          </w:p>
        </w:tc>
        <w:tc>
          <w:tcPr>
            <w:tcW w:w="1134" w:type="dxa"/>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3</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高中阶段毛入学率</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99%</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保持高水平</w:t>
            </w:r>
          </w:p>
        </w:tc>
        <w:tc>
          <w:tcPr>
            <w:tcW w:w="1134" w:type="dxa"/>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4</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教育经费总投入</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年28亿元</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两个只增不减</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5</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教育资源布局</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离散低效</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适应人口结构和分布</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6</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学前教育优质园比例</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40%</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60%</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7</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义务教育资源配置</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基本均衡</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优质均衡</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8</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特色高中以上数量</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3</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9</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中小学生体质健康优良率</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50%</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55%</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0</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中小学生体育素养</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8</w:t>
            </w:r>
            <w:r>
              <w:rPr>
                <w:rFonts w:ascii="楷体_GB2312" w:hAnsi="华文楷体" w:eastAsia="楷体_GB2312"/>
                <w:sz w:val="24"/>
                <w:szCs w:val="24"/>
              </w:rPr>
              <w:t>0</w:t>
            </w:r>
            <w:r>
              <w:rPr>
                <w:rFonts w:hint="eastAsia" w:ascii="楷体_GB2312" w:hAnsi="华文楷体" w:eastAsia="楷体_GB2312"/>
                <w:sz w:val="24"/>
                <w:szCs w:val="24"/>
              </w:rPr>
              <w:t>以上</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1</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中小学生学生近视率</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55.7%</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每年下降1%</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2</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基础教育平均师生比</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1:6.7左右</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1:8左右</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3</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新入职教师研究生学历占比</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15%</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20%</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4</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“两特”和正高教师数量</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25人</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40人</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5</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“双师型”教师比例</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60%</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65%</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w:t>
            </w:r>
            <w:r>
              <w:rPr>
                <w:rFonts w:ascii="楷体_GB2312" w:hAnsi="华文楷体" w:eastAsia="楷体_GB2312"/>
                <w:sz w:val="24"/>
                <w:szCs w:val="24"/>
              </w:rPr>
              <w:t>6</w:t>
            </w:r>
          </w:p>
        </w:tc>
        <w:tc>
          <w:tcPr>
            <w:tcW w:w="31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新增劳动力受教育年限</w:t>
            </w:r>
          </w:p>
        </w:tc>
        <w:tc>
          <w:tcPr>
            <w:tcW w:w="1418"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14.2年</w:t>
            </w:r>
          </w:p>
        </w:tc>
        <w:tc>
          <w:tcPr>
            <w:tcW w:w="2410"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14.5年</w:t>
            </w:r>
          </w:p>
        </w:tc>
        <w:tc>
          <w:tcPr>
            <w:tcW w:w="1134" w:type="dxa"/>
            <w:vAlign w:val="center"/>
          </w:tcPr>
          <w:p>
            <w:pPr>
              <w:adjustRightInd w:val="0"/>
              <w:snapToGrid w:val="0"/>
              <w:spacing w:line="560" w:lineRule="exact"/>
              <w:jc w:val="center"/>
              <w:rPr>
                <w:rFonts w:ascii="楷体_GB2312" w:hAnsi="华文楷体" w:eastAsia="楷体_GB2312"/>
                <w:sz w:val="24"/>
                <w:szCs w:val="24"/>
              </w:rPr>
            </w:pPr>
            <w:r>
              <w:rPr>
                <w:rFonts w:hint="eastAsia" w:ascii="楷体_GB2312" w:hAnsi="华文楷体" w:eastAsia="楷体_GB2312"/>
                <w:sz w:val="24"/>
                <w:szCs w:val="24"/>
              </w:rPr>
              <w:t>预期性</w:t>
            </w:r>
          </w:p>
        </w:tc>
      </w:tr>
    </w:tbl>
    <w:p>
      <w:pPr>
        <w:adjustRightInd w:val="0"/>
        <w:snapToGrid w:val="0"/>
        <w:spacing w:line="560" w:lineRule="exact"/>
        <w:ind w:firstLine="600"/>
        <w:rPr>
          <w:rFonts w:ascii="黑体" w:hAnsi="黑体" w:eastAsia="黑体"/>
          <w:sz w:val="32"/>
          <w:szCs w:val="32"/>
        </w:rPr>
      </w:pPr>
      <w:r>
        <w:rPr>
          <w:rFonts w:hint="eastAsia" w:ascii="黑体" w:hAnsi="黑体" w:eastAsia="黑体"/>
          <w:sz w:val="32"/>
          <w:szCs w:val="32"/>
        </w:rPr>
        <w:t>三、“十四五”教育发展和改革主要任务</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（一）坚持</w:t>
      </w:r>
      <w:r>
        <w:rPr>
          <w:rFonts w:ascii="楷体_GB2312" w:hAnsi="楷体" w:eastAsia="楷体_GB2312"/>
          <w:sz w:val="32"/>
          <w:szCs w:val="32"/>
        </w:rPr>
        <w:t>立德树人，促进五育融合，为学生成长人生幸福</w:t>
      </w:r>
      <w:r>
        <w:rPr>
          <w:rFonts w:hint="eastAsia" w:ascii="楷体_GB2312" w:hAnsi="楷体" w:eastAsia="楷体_GB2312"/>
          <w:sz w:val="32"/>
          <w:szCs w:val="32"/>
        </w:rPr>
        <w:t>奠定基础</w:t>
      </w:r>
    </w:p>
    <w:p>
      <w:pPr>
        <w:adjustRightInd w:val="0"/>
        <w:snapToGrid w:val="0"/>
        <w:spacing w:line="560" w:lineRule="exact"/>
        <w:ind w:firstLine="600"/>
        <w:rPr>
          <w:rFonts w:ascii="仿宋_GB2312" w:hAnsi="仿宋" w:eastAsia="仿宋_GB2312"/>
          <w:sz w:val="32"/>
          <w:szCs w:val="32"/>
        </w:rPr>
      </w:pPr>
      <w:r>
        <w:rPr>
          <w:rFonts w:hint="eastAsia" w:ascii="仿宋_GB2312" w:hAnsi="楷体" w:eastAsia="仿宋_GB2312"/>
          <w:b/>
          <w:sz w:val="32"/>
          <w:szCs w:val="32"/>
        </w:rPr>
        <w:t>深化思想道德教育。</w:t>
      </w:r>
      <w:r>
        <w:rPr>
          <w:rFonts w:hint="eastAsia" w:ascii="仿宋_GB2312" w:hAnsi="楷体" w:eastAsia="仿宋_GB2312"/>
          <w:sz w:val="32"/>
          <w:szCs w:val="32"/>
        </w:rPr>
        <w:t>坚持用习近平新时代中国特色社会主义思想铸魂育人，推进进教材、进课堂、进头脑。</w:t>
      </w:r>
      <w:r>
        <w:rPr>
          <w:rFonts w:hint="eastAsia" w:ascii="仿宋_GB2312" w:hAnsi="仿宋" w:eastAsia="仿宋_GB2312"/>
          <w:sz w:val="32"/>
          <w:szCs w:val="32"/>
        </w:rPr>
        <w:t>完善中小学德育工作体系，深化课程育人、文化育人、活动育人、实践育人、管理育人、协同育人。完善中小幼一体化德育内容框架，大力开展理想信念、社会主义核心价值观、中华优秀文化传统、生态文明和心理健康教育，统筹开展“四史”教育、安全教育、法治教育，深入推进中小学学科德育一体化等五大项目建设。健全中小幼纵向衔接、课内课外和网上网下贯通、学校家庭社会协同联动的育人体系。政府引导，市场主体，社会参与，协同建立一批校外教育场馆基地。完善学生心理健康教育服务网络，优化课程资源和活动平台，规范咨询干预机制，培育学生积极心理品质。加强德育队伍建设，实行全员导师制，提高班主任能力水平和地位待遇。</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中小学德育一体化课程建设项目</w:t>
            </w:r>
          </w:p>
          <w:p>
            <w:pPr>
              <w:adjustRightInd w:val="0"/>
              <w:snapToGrid w:val="0"/>
              <w:spacing w:line="560" w:lineRule="exact"/>
              <w:ind w:firstLine="600" w:firstLineChars="200"/>
              <w:rPr>
                <w:rFonts w:ascii="仿宋_GB2312" w:hAnsi="仿宋" w:eastAsia="仿宋_GB2312"/>
                <w:sz w:val="32"/>
                <w:szCs w:val="32"/>
              </w:rPr>
            </w:pPr>
            <w:r>
              <w:rPr>
                <w:rFonts w:hint="eastAsia" w:ascii="楷体_GB2312" w:hAnsi="华文楷体" w:eastAsia="楷体_GB2312"/>
                <w:sz w:val="30"/>
                <w:szCs w:val="30"/>
              </w:rPr>
              <w:t xml:space="preserve">推进学科德育一体化建设，有效落实基于学生核心素养的课程育人路径，形成学科、学校、区域的经验与典型案例，完善中小学学科德育资源库。推进“德育课程”一体化建设，构建分层递进、螺旋上升、整体衔接的中小学德育目标体系，形成《崇德明礼》系列德育课程和学生德育素养区域特色评价体系。推进新时代大中小学思政课建设，开设习近平新时代中国特色社会主义思想导读、导学、主题活动等课程，重点推进以生态文明教育、“四史”教育为重点的思政课一体化建设。推进艺术学科德育协同研究中心建设，开展区中小学艺术学科课堂教学设计、区中小学艺术学科经验论文与典型案例征集活动，形成艺术学科德育协同研究和推进的区域经验。组织开展区中小学落实“六育人”案例征集活动及专题论坛。 </w:t>
            </w:r>
          </w:p>
        </w:tc>
      </w:tr>
    </w:tbl>
    <w:p>
      <w:pPr>
        <w:adjustRightInd w:val="0"/>
        <w:snapToGrid w:val="0"/>
        <w:spacing w:line="560" w:lineRule="exact"/>
        <w:ind w:firstLine="600"/>
        <w:rPr>
          <w:rFonts w:ascii="仿宋_GB2312" w:hAnsi="仿宋" w:eastAsia="仿宋_GB2312"/>
          <w:b/>
          <w:sz w:val="32"/>
          <w:szCs w:val="32"/>
        </w:rPr>
      </w:pPr>
      <w:r>
        <w:rPr>
          <w:rFonts w:hint="eastAsia" w:ascii="仿宋_GB2312" w:hAnsi="仿宋" w:eastAsia="仿宋_GB2312"/>
          <w:b/>
          <w:sz w:val="32"/>
          <w:szCs w:val="32"/>
        </w:rPr>
        <w:t>提升学生学习素养。</w:t>
      </w:r>
      <w:r>
        <w:rPr>
          <w:rFonts w:hint="eastAsia" w:ascii="仿宋_GB2312" w:hAnsi="仿宋" w:eastAsia="仿宋_GB2312"/>
          <w:sz w:val="32"/>
          <w:szCs w:val="32"/>
        </w:rPr>
        <w:t>着力培养学生的认知能力，促进思维发展，激发创新意识。注重保护学生好奇心、想象力、求知欲，激发学生兴趣，提高学习能力，丰富人文底蕴，培育科学精神。高质量落实国家课程方案和课程标准，培育中小学生面向未来的核心知识、必备技能和关键能力。持续推动创新创造教育，探索基于学科的课程综合化教学，重视信息科技、科学实践和工程技术教育。充分发挥学校在学生成长中的主体和主导作用，切实加强学校作业管理，科学开展学业评价，厘清学校和家庭在学生成长中的教育责任，切实减轻家长在学生家庭作业管理方面的智力投入和时间投入，促进家庭、学校、社区协同育人，合力营造良好育人环境。</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提升学生体育素养。</w:t>
      </w:r>
      <w:r>
        <w:rPr>
          <w:rFonts w:hint="eastAsia" w:ascii="仿宋_GB2312" w:hAnsi="仿宋" w:eastAsia="仿宋_GB2312"/>
          <w:sz w:val="32"/>
          <w:szCs w:val="32"/>
        </w:rPr>
        <w:t>严格落实基础教育学校体育课刚性要求，广泛开展田径、球类等传统奥运项目和跳绳、健身操等非奥项目，确保人人每天校园体育运动一小时。全面推进体育课程改革，学前教育开展适合幼儿特点的游戏活动，义务教育确保学生掌握2项体育技能，高中阶段发展专项运动。布局9个以上小学、初中、高中相衔接的“一条龙”体育特色项目。深化</w:t>
      </w:r>
      <w:r>
        <w:rPr>
          <w:rFonts w:ascii="仿宋_GB2312" w:hAnsi="仿宋" w:eastAsia="仿宋_GB2312"/>
          <w:sz w:val="32"/>
          <w:szCs w:val="32"/>
        </w:rPr>
        <w:t>体教融合</w:t>
      </w:r>
      <w:r>
        <w:rPr>
          <w:rFonts w:hint="eastAsia" w:ascii="仿宋_GB2312" w:hAnsi="仿宋" w:eastAsia="仿宋_GB2312"/>
          <w:sz w:val="32"/>
          <w:szCs w:val="32"/>
        </w:rPr>
        <w:t>，有序推进奥林匹克教育进课程，继续推进全国青少年校园足球试点区建设，加强各类体育运动队和体育赛事体系建设，定期举办学生运动会和体育节等。实施中小学生体育素养测评工作，进一步提高学生运动技能水平。完善学生体质健康监测制度，切实提高青少年学生体质健康水平。加强儿童青少年近视综合防控，坚决降低近视率。</w:t>
      </w:r>
    </w:p>
    <w:p>
      <w:pPr>
        <w:adjustRightInd w:val="0"/>
        <w:snapToGrid w:val="0"/>
        <w:spacing w:line="560" w:lineRule="exact"/>
        <w:ind w:firstLine="600"/>
        <w:rPr>
          <w:rFonts w:ascii="仿宋_GB2312" w:hAnsi="仿宋" w:eastAsia="仿宋_GB2312"/>
          <w:b/>
          <w:sz w:val="32"/>
          <w:szCs w:val="32"/>
        </w:rPr>
      </w:pPr>
      <w:r>
        <w:rPr>
          <w:rFonts w:hint="eastAsia" w:ascii="仿宋_GB2312" w:hAnsi="仿宋" w:eastAsia="仿宋_GB2312"/>
          <w:sz w:val="32"/>
          <w:szCs w:val="32"/>
        </w:rPr>
        <w:t>提升学生美育素养。配齐配好美育师资，结合各学段特点开设和上好音乐、美术、书法、舞蹈、戏曲等美育课程，结合崇明乡土文化设立艺术特色课程。义务教育学校实施“人人会乐器”项目，帮助每位学生掌握1-2项艺术爱好和特长；高中阶段增加艺术课程的可选性和专业性。丰富面向人人的艺术实践活动，建立常态化的以演唱、演奏、舞蹈、课本剧、书法展示等为主要形式的班级、校级、区级学生艺术展演机制；促进本土</w:t>
      </w:r>
      <w:r>
        <w:rPr>
          <w:rFonts w:ascii="仿宋_GB2312" w:hAnsi="仿宋" w:eastAsia="仿宋_GB2312"/>
          <w:sz w:val="32"/>
          <w:szCs w:val="32"/>
        </w:rPr>
        <w:t>非遗进校园</w:t>
      </w:r>
      <w:r>
        <w:rPr>
          <w:rFonts w:hint="eastAsia" w:ascii="仿宋_GB2312" w:hAnsi="仿宋" w:eastAsia="仿宋_GB2312"/>
          <w:sz w:val="32"/>
          <w:szCs w:val="32"/>
        </w:rPr>
        <w:t>、高雅艺术进校园、学生走进艺术场馆等活动。加强美育特色项目和艺术社团建设，持续推动学校创建“一校多品”和“艺术特色学校”，形成多品牌特色发展格局。深化文教结合工作，推进社会艺术场馆、专业团队与学校艺术教育相结合。</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提升学生劳动素养。</w:t>
      </w:r>
      <w:r>
        <w:rPr>
          <w:rFonts w:hint="eastAsia" w:ascii="仿宋_GB2312" w:hAnsi="仿宋" w:eastAsia="仿宋_GB2312"/>
          <w:sz w:val="32"/>
          <w:szCs w:val="32"/>
        </w:rPr>
        <w:t>贯彻落实《上海市委市政府关于全面加强新时代大中小学劳动教育的实施意见》，把准劳动教育育人目标，明确各学段劳动教育内容要求，落实劳动教育课时安排，完善劳动教育课程建设。充分依托本区良好生态资源，建设1-2个服务本区、辐射全市、面向全国的劳动与研学基地。系统设计校内劳动、家庭劳动、社会劳动课程，繁荣校园劳动文化，建设劳动专任教师和兼职教师队伍，深化学生劳动素质评价，</w:t>
      </w:r>
      <w:r>
        <w:rPr>
          <w:rFonts w:ascii="仿宋_GB2312" w:hAnsi="仿宋" w:eastAsia="仿宋_GB2312"/>
          <w:sz w:val="32"/>
          <w:szCs w:val="32"/>
        </w:rPr>
        <w:t>保障劳动教育经费</w:t>
      </w:r>
      <w:r>
        <w:rPr>
          <w:rFonts w:hint="eastAsia" w:ascii="仿宋_GB2312" w:hAnsi="仿宋" w:eastAsia="仿宋_GB2312"/>
          <w:sz w:val="32"/>
          <w:szCs w:val="32"/>
        </w:rPr>
        <w:t>。发挥劳动教育树德、强体、育美的综合育人功能。</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实施融合育人评价改革。</w:t>
      </w:r>
      <w:r>
        <w:rPr>
          <w:rFonts w:hint="eastAsia" w:ascii="仿宋_GB2312" w:hAnsi="仿宋" w:eastAsia="仿宋_GB2312"/>
          <w:sz w:val="32"/>
          <w:szCs w:val="32"/>
        </w:rPr>
        <w:t>树立</w:t>
      </w:r>
      <w:r>
        <w:rPr>
          <w:rFonts w:ascii="仿宋_GB2312" w:hAnsi="仿宋" w:eastAsia="仿宋_GB2312"/>
          <w:sz w:val="32"/>
          <w:szCs w:val="32"/>
        </w:rPr>
        <w:t>科学成</w:t>
      </w:r>
      <w:r>
        <w:rPr>
          <w:rFonts w:hint="eastAsia" w:ascii="仿宋_GB2312" w:hAnsi="仿宋" w:eastAsia="仿宋_GB2312"/>
          <w:sz w:val="32"/>
          <w:szCs w:val="32"/>
        </w:rPr>
        <w:t>才</w:t>
      </w:r>
      <w:r>
        <w:rPr>
          <w:rFonts w:ascii="仿宋_GB2312" w:hAnsi="仿宋" w:eastAsia="仿宋_GB2312"/>
          <w:sz w:val="32"/>
          <w:szCs w:val="32"/>
        </w:rPr>
        <w:t>观念，</w:t>
      </w:r>
      <w:r>
        <w:rPr>
          <w:rFonts w:hint="eastAsia" w:ascii="仿宋_GB2312" w:hAnsi="仿宋" w:eastAsia="仿宋_GB2312"/>
          <w:sz w:val="32"/>
          <w:szCs w:val="32"/>
        </w:rPr>
        <w:t>引领各类教育回归育人本原。探索“五育融合”过程性和成长性评价，健全德智体美劳各项评价指标，把学生德智体美劳发展情况纳入学生综合素质评价。科学设计中小学、职业学校德育目标要求，引导学生养成良好思想道德、心理素质和行为习惯，传承红色基因，增强“四个自信”，立志扎根人民、奉献国家；建立日常参与、体质监测和运动技能测试相结合的体育考查机制，将达到国家学生体质健康标准要求作为教育教学考核重要内容；把学生学习音乐、美术、书法等艺术类课程和参与学校组织的艺术实践活动情况纳入学业要求，促进学生形成艺术爱好、增强艺术素养；明确劳动教育目标要求，探索建立劳动清单制度，让学生在实践中养成劳动习惯、锻炼劳动意志；把评价结果作为衡量学生全面发展、评优评先、毕业升学的重要参考或依据。积极推进区域统一的融合育人评价大数据平台的创建和整合，科学稳妥，适度推进，利用大数据开展教育评价，促进学校“五育融合”的监测评价科学化、常态化。</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深化生态教育改革实践项目</w:t>
            </w:r>
          </w:p>
          <w:p>
            <w:pPr>
              <w:adjustRightInd w:val="0"/>
              <w:snapToGrid w:val="0"/>
              <w:spacing w:line="560" w:lineRule="exact"/>
              <w:ind w:firstLine="600" w:firstLineChars="200"/>
              <w:rPr>
                <w:rFonts w:ascii="华文楷体" w:hAnsi="华文楷体" w:eastAsia="华文楷体"/>
                <w:sz w:val="30"/>
                <w:szCs w:val="30"/>
              </w:rPr>
            </w:pPr>
            <w:r>
              <w:rPr>
                <w:rFonts w:hint="eastAsia" w:ascii="楷体_GB2312" w:hAnsi="华文楷体" w:eastAsia="楷体_GB2312"/>
                <w:sz w:val="30"/>
                <w:szCs w:val="30"/>
              </w:rPr>
              <w:t>在制定“生态人”素养结构模型基础上，研究“生态人”的形成机制，制定新时代“生态人”的培养目标与评价体系。把生态教育纳入每一所中小学、幼儿园的发展规划，各校创造性地开展行动，重点是利用生产、生活、生态资源，构建多层次、全覆盖的生态教育课程体系。高标准建成“崇明区生态教育馆”，接纳岛内外中小学生来此开展生态教育体验学习。借力华东师大等学术力量提炼崇明经验，利用“长江流域生物多样性保护活动儿童环境教育峰会”等平台，讲好崇明故事，把崇明经验向全国作积极辐射。</w:t>
            </w:r>
          </w:p>
        </w:tc>
      </w:tr>
    </w:tbl>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（二）加强队伍建设，提升能力水平，夯实教育高质量发展基础工程</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加强师德师风建设。</w:t>
      </w:r>
      <w:r>
        <w:rPr>
          <w:rFonts w:hint="eastAsia" w:ascii="仿宋_GB2312" w:hAnsi="仿宋" w:eastAsia="仿宋_GB2312"/>
          <w:sz w:val="32"/>
          <w:szCs w:val="32"/>
        </w:rPr>
        <w:t>把师德师风建设摆在队伍建设首位，完善师德师风建设长效机制。以“四有”好老师为标准，健全教师荣誉体系，发掘优秀师德典型，讲好身边师德故事，弘扬先进师德楷模，营造尊师重教的良好社会氛围。强化动态研判，加强对教育系统有偿家教、敷衍教学、经营从商等师德失范苗头倾向和潜在问题的分析和研判，防微杜渐，防患未然。建立健全师德评价核心指标体系，将师德作为教师入职、绩效分配、职称评聘、岗位聘用和表彰奖励的首要依据。对违反中小学、幼儿园教师职业道德的行为“零容忍”，坚决问责处罚、通报曝光。</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提高教师专业素养。</w:t>
      </w:r>
      <w:r>
        <w:rPr>
          <w:rFonts w:hint="eastAsia" w:ascii="仿宋_GB2312" w:hAnsi="仿宋" w:eastAsia="仿宋_GB2312"/>
          <w:sz w:val="32"/>
          <w:szCs w:val="32"/>
        </w:rPr>
        <w:t>加强教师招聘管理，提高教师准入门槛。健全区级和校本研修制度，坚持教师需求导向、问题导向，进一步提升教师信息技术应用能力、新课程新教材实施能力、作业设计</w:t>
      </w:r>
      <w:r>
        <w:rPr>
          <w:rFonts w:ascii="仿宋_GB2312" w:hAnsi="仿宋" w:eastAsia="仿宋_GB2312"/>
          <w:sz w:val="32"/>
          <w:szCs w:val="32"/>
        </w:rPr>
        <w:t>和命题能力、</w:t>
      </w:r>
      <w:r>
        <w:rPr>
          <w:rFonts w:hint="eastAsia" w:ascii="仿宋_GB2312" w:hAnsi="仿宋" w:eastAsia="仿宋_GB2312"/>
          <w:sz w:val="32"/>
          <w:szCs w:val="32"/>
        </w:rPr>
        <w:t>学生发展指导能力、走班教学管理能力等，促进教师持续专业成长。加强骨干教师队伍建设，优化评选办法，形成合理结构，强化作用发挥，完善管理考核，支持鼓励骨干教师参与正高级教师、特级教师评选。加强教研员队伍建设，提升学习力、研究力、引领力。提高校园长的思想领导、行政领导、课程领导能力，增强校园长担当作为意识和办学治校的能力水平。</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推进教师管理综合改革。</w:t>
      </w:r>
      <w:r>
        <w:rPr>
          <w:rFonts w:hint="eastAsia" w:ascii="仿宋_GB2312" w:hAnsi="仿宋" w:eastAsia="仿宋_GB2312"/>
          <w:sz w:val="32"/>
          <w:szCs w:val="32"/>
        </w:rPr>
        <w:t>对标市委编办等四部门印发的公办中小学、幼儿园编制标准，严格编制管理，加大统筹力度。完善教职工岗位设置管理，优化中小学专业技术职务岗位比例结构。常态化实施教职工全员岗位聘任制度，建立健全教师有序合理流动和转岗培训等工作机制，鼓励引导更多教师参与校际流动，让合适的人在更加合适的岗位上工作。加强教师分类考核评价，聚焦教书育人核心使命，突出师德、能力、业绩和贡献度等要素。落实本市中小幼教师绩效工资增长机制，进一步完善以“多劳多得、优绩优酬”为特点的绩效分配制度。引导民办学校配足配齐教师，依法保障民办学校教师享有公办学校教师同等权利。加强</w:t>
      </w:r>
      <w:r>
        <w:rPr>
          <w:rFonts w:ascii="仿宋_GB2312" w:hAnsi="仿宋" w:eastAsia="仿宋_GB2312"/>
          <w:sz w:val="32"/>
          <w:szCs w:val="32"/>
        </w:rPr>
        <w:t>编外人员管理。</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新时代教师队伍建设和改革项目</w:t>
            </w:r>
          </w:p>
          <w:p>
            <w:pPr>
              <w:adjustRightInd w:val="0"/>
              <w:snapToGrid w:val="0"/>
              <w:spacing w:line="560" w:lineRule="exact"/>
              <w:ind w:firstLine="600" w:firstLineChars="200"/>
              <w:rPr>
                <w:rFonts w:ascii="仿宋_GB2312" w:hAnsi="仿宋" w:eastAsia="仿宋_GB2312"/>
                <w:sz w:val="32"/>
                <w:szCs w:val="32"/>
              </w:rPr>
            </w:pPr>
            <w:r>
              <w:rPr>
                <w:rFonts w:hint="eastAsia" w:ascii="楷体_GB2312" w:hAnsi="华文楷体" w:eastAsia="楷体_GB2312"/>
                <w:sz w:val="30"/>
                <w:szCs w:val="30"/>
              </w:rPr>
              <w:t>优化教育人才引进机制，提高教师准入门槛，提高师范生和</w:t>
            </w:r>
            <w:r>
              <w:rPr>
                <w:rFonts w:ascii="楷体_GB2312" w:hAnsi="华文楷体" w:eastAsia="楷体_GB2312"/>
                <w:sz w:val="30"/>
                <w:szCs w:val="30"/>
              </w:rPr>
              <w:t>研究生</w:t>
            </w:r>
            <w:r>
              <w:rPr>
                <w:rFonts w:hint="eastAsia" w:ascii="楷体_GB2312" w:hAnsi="华文楷体" w:eastAsia="楷体_GB2312"/>
                <w:sz w:val="30"/>
                <w:szCs w:val="30"/>
              </w:rPr>
              <w:t>比例。继续与上师大开展教师培养合作。民办学校和教育培训机构招录教师需符合规定资质、学历并实行备案制。贯彻落实教师流动管理办法，落实综合激励措施。优化教师专业发展机制，加强教师分类培训，加强骨干教师队伍建设，教师专业技术职称岗位设置比例向承担重要教学改任务和集团化办学牵头单位倾斜。完善教师职称聘任能上能下制度，支持学校对不胜任或不愿意在教育教学第一线工作的教师实施低聘或转岗。改革教师评价，把师德师风作为第一标准，突出教育教学实绩，强化一线学生工作。常态实行教师全员岗位聘任，通过有力举措实现人岗匹配，让合适的人在合适的岗位上工作，真正激发队伍活力潜力。动态完善区级教师绩效工资分配指导意见，重实绩，重贡献，向一线教师、优秀教师和从事学生工作教师倾斜，加强对贯彻落实情况的督查。明确校园长履行学校领导与管理工作职责的专业要求，完善校园长在学习培训、坚守一线、引领发展等方面的机制。加强对校园长的考核评价，完善薪酬体系，健全激励机制，落实追责问责机制。</w:t>
            </w:r>
          </w:p>
        </w:tc>
      </w:tr>
    </w:tbl>
    <w:p>
      <w:pPr>
        <w:adjustRightInd w:val="0"/>
        <w:snapToGrid w:val="0"/>
        <w:spacing w:line="560" w:lineRule="exact"/>
        <w:rPr>
          <w:rFonts w:ascii="仿宋_GB2312" w:hAnsi="仿宋" w:eastAsia="仿宋_GB2312"/>
          <w:sz w:val="32"/>
          <w:szCs w:val="32"/>
        </w:rPr>
      </w:pPr>
      <w:r>
        <w:rPr>
          <w:rFonts w:hint="eastAsia" w:ascii="仿宋_GB2312" w:hAnsi="仿宋" w:eastAsia="仿宋_GB2312"/>
          <w:b/>
          <w:sz w:val="32"/>
          <w:szCs w:val="32"/>
        </w:rPr>
        <w:t xml:space="preserve">    推进</w:t>
      </w:r>
      <w:r>
        <w:rPr>
          <w:rFonts w:ascii="仿宋_GB2312" w:hAnsi="仿宋" w:eastAsia="仿宋_GB2312"/>
          <w:b/>
          <w:sz w:val="32"/>
          <w:szCs w:val="32"/>
        </w:rPr>
        <w:t>职业学校</w:t>
      </w:r>
      <w:r>
        <w:rPr>
          <w:rFonts w:hint="eastAsia" w:ascii="仿宋_GB2312" w:hAnsi="仿宋" w:eastAsia="仿宋_GB2312"/>
          <w:b/>
          <w:sz w:val="32"/>
          <w:szCs w:val="32"/>
        </w:rPr>
        <w:t>“</w:t>
      </w:r>
      <w:r>
        <w:rPr>
          <w:rFonts w:ascii="仿宋_GB2312" w:hAnsi="仿宋" w:eastAsia="仿宋_GB2312"/>
          <w:b/>
          <w:sz w:val="32"/>
          <w:szCs w:val="32"/>
        </w:rPr>
        <w:t>双师型</w:t>
      </w:r>
      <w:r>
        <w:rPr>
          <w:rFonts w:hint="eastAsia" w:ascii="仿宋_GB2312" w:hAnsi="仿宋" w:eastAsia="仿宋_GB2312"/>
          <w:b/>
          <w:sz w:val="32"/>
          <w:szCs w:val="32"/>
        </w:rPr>
        <w:t>”教师</w:t>
      </w:r>
      <w:r>
        <w:rPr>
          <w:rFonts w:ascii="仿宋_GB2312" w:hAnsi="仿宋" w:eastAsia="仿宋_GB2312"/>
          <w:b/>
          <w:sz w:val="32"/>
          <w:szCs w:val="32"/>
        </w:rPr>
        <w:t>队伍建设。</w:t>
      </w:r>
      <w:r>
        <w:rPr>
          <w:rFonts w:hint="eastAsia" w:ascii="仿宋_GB2312" w:hAnsi="仿宋" w:eastAsia="仿宋_GB2312"/>
          <w:sz w:val="32"/>
          <w:szCs w:val="32"/>
        </w:rPr>
        <w:t>实施新任专业教师入职培训合格持证上岗制度，注重专业教师实践技能水平和专业教学能力。加强校企合作，拓展教师专业实践基地，构建职前职后一体化、学校企业双主体的职业学校教师培养模式。推进教师定期赴企业学习实践和挂职制度，开阔教师眼界，提高解决生产或服务实际问题能力。完善兼职教师聘用机制和管理办法，鼓励有企业实践经验的高技术人才到职业学校任教。参照本市职业学校“双师型”教师认定标准，将“双师 ”素养纳入职业学校专业教师考核评价体系，“双师型”教师比例达到6</w:t>
      </w:r>
      <w:r>
        <w:rPr>
          <w:rFonts w:ascii="仿宋_GB2312" w:hAnsi="仿宋" w:eastAsia="仿宋_GB2312"/>
          <w:sz w:val="32"/>
          <w:szCs w:val="32"/>
        </w:rPr>
        <w:t>5%</w:t>
      </w:r>
      <w:r>
        <w:rPr>
          <w:rFonts w:hint="eastAsia" w:ascii="仿宋_GB2312" w:hAnsi="仿宋" w:eastAsia="仿宋_GB2312"/>
          <w:sz w:val="32"/>
          <w:szCs w:val="32"/>
        </w:rPr>
        <w:t>以上。</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（三）深化</w:t>
      </w:r>
      <w:r>
        <w:rPr>
          <w:rFonts w:ascii="楷体_GB2312" w:hAnsi="楷体" w:eastAsia="楷体_GB2312"/>
          <w:sz w:val="32"/>
          <w:szCs w:val="32"/>
        </w:rPr>
        <w:t>教育改革，</w:t>
      </w:r>
      <w:r>
        <w:rPr>
          <w:rFonts w:hint="eastAsia" w:ascii="楷体_GB2312" w:hAnsi="楷体" w:eastAsia="楷体_GB2312"/>
          <w:sz w:val="32"/>
          <w:szCs w:val="32"/>
        </w:rPr>
        <w:t>聚焦品质</w:t>
      </w:r>
      <w:r>
        <w:rPr>
          <w:rFonts w:ascii="楷体_GB2312" w:hAnsi="楷体" w:eastAsia="楷体_GB2312"/>
          <w:sz w:val="32"/>
          <w:szCs w:val="32"/>
        </w:rPr>
        <w:t>提升，</w:t>
      </w:r>
      <w:r>
        <w:rPr>
          <w:rFonts w:hint="eastAsia" w:ascii="楷体_GB2312" w:hAnsi="楷体" w:eastAsia="楷体_GB2312"/>
          <w:sz w:val="32"/>
          <w:szCs w:val="32"/>
        </w:rPr>
        <w:t>满足人民</w:t>
      </w:r>
      <w:r>
        <w:rPr>
          <w:rFonts w:ascii="楷体_GB2312" w:hAnsi="楷体" w:eastAsia="楷体_GB2312"/>
          <w:sz w:val="32"/>
          <w:szCs w:val="32"/>
        </w:rPr>
        <w:t>群众优质</w:t>
      </w:r>
      <w:r>
        <w:rPr>
          <w:rFonts w:hint="eastAsia" w:ascii="楷体_GB2312" w:hAnsi="楷体" w:eastAsia="楷体_GB2312"/>
          <w:sz w:val="32"/>
          <w:szCs w:val="32"/>
        </w:rPr>
        <w:t>教育</w:t>
      </w:r>
      <w:r>
        <w:rPr>
          <w:rFonts w:ascii="楷体_GB2312" w:hAnsi="楷体" w:eastAsia="楷体_GB2312"/>
          <w:sz w:val="32"/>
          <w:szCs w:val="32"/>
        </w:rPr>
        <w:t>新期盼</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提升学前教育保教</w:t>
      </w:r>
      <w:r>
        <w:rPr>
          <w:rFonts w:ascii="仿宋_GB2312" w:hAnsi="仿宋" w:eastAsia="仿宋_GB2312"/>
          <w:b/>
          <w:sz w:val="32"/>
          <w:szCs w:val="32"/>
        </w:rPr>
        <w:t>质量水平</w:t>
      </w:r>
      <w:r>
        <w:rPr>
          <w:rFonts w:hint="eastAsia" w:ascii="仿宋_GB2312" w:hAnsi="仿宋" w:eastAsia="仿宋_GB2312"/>
          <w:b/>
          <w:sz w:val="32"/>
          <w:szCs w:val="32"/>
        </w:rPr>
        <w:t>。</w:t>
      </w:r>
      <w:r>
        <w:rPr>
          <w:rFonts w:hint="eastAsia" w:ascii="仿宋_GB2312" w:hAnsi="仿宋" w:eastAsia="仿宋_GB2312"/>
          <w:sz w:val="32"/>
          <w:szCs w:val="32"/>
        </w:rPr>
        <w:t>贯彻落实《中共上海市委上海市人民政府关于推进学前教育深化改革规范发展的实施意见》，打造普及普惠、安全优质、</w:t>
      </w:r>
      <w:r>
        <w:rPr>
          <w:rFonts w:ascii="仿宋_GB2312" w:hAnsi="仿宋" w:eastAsia="仿宋_GB2312"/>
          <w:sz w:val="32"/>
          <w:szCs w:val="32"/>
        </w:rPr>
        <w:t>多元包容</w:t>
      </w:r>
      <w:r>
        <w:rPr>
          <w:rFonts w:hint="eastAsia" w:ascii="仿宋_GB2312" w:hAnsi="仿宋" w:eastAsia="仿宋_GB2312"/>
          <w:sz w:val="32"/>
          <w:szCs w:val="32"/>
        </w:rPr>
        <w:t>的学前教育。</w:t>
      </w:r>
      <w:r>
        <w:rPr>
          <w:rFonts w:ascii="仿宋_GB2312" w:hAnsi="仿宋" w:eastAsia="仿宋_GB2312"/>
          <w:sz w:val="32"/>
          <w:szCs w:val="32"/>
        </w:rPr>
        <w:t>落实幼儿园装备指南和专用活动室建设要求。</w:t>
      </w:r>
      <w:r>
        <w:rPr>
          <w:rFonts w:hint="eastAsia" w:ascii="仿宋_GB2312" w:hAnsi="仿宋" w:eastAsia="仿宋_GB2312"/>
          <w:sz w:val="32"/>
          <w:szCs w:val="32"/>
        </w:rPr>
        <w:t>强化儿童立场，加强课程建设，丰富课程资源</w:t>
      </w:r>
      <w:r>
        <w:rPr>
          <w:rFonts w:ascii="仿宋_GB2312" w:hAnsi="仿宋" w:eastAsia="仿宋_GB2312"/>
          <w:sz w:val="32"/>
          <w:szCs w:val="32"/>
        </w:rPr>
        <w:t>。</w:t>
      </w:r>
      <w:r>
        <w:rPr>
          <w:rFonts w:hint="eastAsia" w:ascii="仿宋_GB2312" w:hAnsi="仿宋" w:eastAsia="仿宋_GB2312"/>
          <w:sz w:val="32"/>
          <w:szCs w:val="32"/>
        </w:rPr>
        <w:t>按照</w:t>
      </w:r>
      <w:r>
        <w:rPr>
          <w:rFonts w:ascii="仿宋_GB2312" w:hAnsi="仿宋" w:eastAsia="仿宋_GB2312"/>
          <w:sz w:val="32"/>
          <w:szCs w:val="32"/>
        </w:rPr>
        <w:t>幼儿园办园质量评价指南和等级评估指标体系，</w:t>
      </w:r>
      <w:r>
        <w:rPr>
          <w:rFonts w:hint="eastAsia" w:ascii="仿宋_GB2312" w:hAnsi="仿宋" w:eastAsia="仿宋_GB2312"/>
          <w:sz w:val="32"/>
          <w:szCs w:val="32"/>
        </w:rPr>
        <w:t>推进一级园</w:t>
      </w:r>
      <w:r>
        <w:rPr>
          <w:rFonts w:ascii="仿宋_GB2312" w:hAnsi="仿宋" w:eastAsia="仿宋_GB2312"/>
          <w:sz w:val="32"/>
          <w:szCs w:val="32"/>
        </w:rPr>
        <w:t>和示范园</w:t>
      </w:r>
      <w:r>
        <w:rPr>
          <w:rFonts w:hint="eastAsia" w:ascii="仿宋_GB2312" w:hAnsi="仿宋" w:eastAsia="仿宋_GB2312"/>
          <w:sz w:val="32"/>
          <w:szCs w:val="32"/>
        </w:rPr>
        <w:t>创建，整体提升优质园比例</w:t>
      </w:r>
      <w:r>
        <w:rPr>
          <w:rFonts w:ascii="仿宋_GB2312" w:hAnsi="仿宋" w:eastAsia="仿宋_GB2312"/>
          <w:sz w:val="32"/>
          <w:szCs w:val="32"/>
        </w:rPr>
        <w:t>和</w:t>
      </w:r>
      <w:r>
        <w:rPr>
          <w:rFonts w:hint="eastAsia" w:ascii="仿宋_GB2312" w:hAnsi="仿宋" w:eastAsia="仿宋_GB2312"/>
          <w:sz w:val="32"/>
          <w:szCs w:val="32"/>
        </w:rPr>
        <w:t>办园水平，全区</w:t>
      </w:r>
      <w:r>
        <w:rPr>
          <w:rFonts w:ascii="仿宋_GB2312" w:hAnsi="仿宋" w:eastAsia="仿宋_GB2312"/>
          <w:sz w:val="32"/>
          <w:szCs w:val="32"/>
        </w:rPr>
        <w:t>公办一级园</w:t>
      </w:r>
      <w:r>
        <w:rPr>
          <w:rFonts w:hint="eastAsia" w:ascii="仿宋_GB2312" w:hAnsi="仿宋" w:eastAsia="仿宋_GB2312"/>
          <w:sz w:val="32"/>
          <w:szCs w:val="32"/>
        </w:rPr>
        <w:t>达50</w:t>
      </w:r>
      <w:r>
        <w:rPr>
          <w:rFonts w:ascii="仿宋_GB2312" w:hAnsi="仿宋" w:eastAsia="仿宋_GB2312"/>
          <w:sz w:val="32"/>
          <w:szCs w:val="32"/>
        </w:rPr>
        <w:t>%</w:t>
      </w:r>
      <w:r>
        <w:rPr>
          <w:rFonts w:hint="eastAsia" w:ascii="仿宋_GB2312" w:hAnsi="仿宋" w:eastAsia="仿宋_GB2312"/>
          <w:sz w:val="32"/>
          <w:szCs w:val="32"/>
        </w:rPr>
        <w:t>、</w:t>
      </w:r>
      <w:r>
        <w:rPr>
          <w:rFonts w:ascii="仿宋_GB2312" w:hAnsi="仿宋" w:eastAsia="仿宋_GB2312"/>
          <w:sz w:val="32"/>
          <w:szCs w:val="32"/>
        </w:rPr>
        <w:t>示范园达</w:t>
      </w:r>
      <w:r>
        <w:rPr>
          <w:rFonts w:hint="eastAsia" w:ascii="仿宋_GB2312" w:hAnsi="仿宋" w:eastAsia="仿宋_GB2312"/>
          <w:sz w:val="32"/>
          <w:szCs w:val="32"/>
        </w:rPr>
        <w:t>10</w:t>
      </w:r>
      <w:r>
        <w:rPr>
          <w:rFonts w:ascii="仿宋_GB2312" w:hAnsi="仿宋" w:eastAsia="仿宋_GB2312"/>
          <w:sz w:val="32"/>
          <w:szCs w:val="32"/>
        </w:rPr>
        <w:t>%。</w:t>
      </w:r>
      <w:r>
        <w:rPr>
          <w:rFonts w:hint="eastAsia" w:ascii="仿宋_GB2312" w:hAnsi="仿宋" w:eastAsia="仿宋_GB2312"/>
          <w:sz w:val="32"/>
          <w:szCs w:val="32"/>
        </w:rPr>
        <w:t>建立合作共育机制和协同共育体系，积极推进托幼一体化工作。深化幼小双向衔接，帮助幼儿做好入学准备。</w:t>
      </w:r>
      <w:r>
        <w:rPr>
          <w:rFonts w:ascii="仿宋_GB2312" w:hAnsi="仿宋" w:eastAsia="仿宋_GB2312"/>
          <w:sz w:val="32"/>
          <w:szCs w:val="32"/>
        </w:rPr>
        <w:t>落实</w:t>
      </w:r>
      <w:bookmarkStart w:id="0" w:name="_Hlk39426408"/>
      <w:r>
        <w:rPr>
          <w:rFonts w:ascii="仿宋_GB2312" w:hAnsi="仿宋" w:eastAsia="仿宋_GB2312"/>
          <w:sz w:val="32"/>
          <w:szCs w:val="32"/>
        </w:rPr>
        <w:t>幼儿园信息化建设</w:t>
      </w:r>
      <w:bookmarkEnd w:id="0"/>
      <w:r>
        <w:rPr>
          <w:rFonts w:hint="eastAsia" w:ascii="仿宋_GB2312" w:hAnsi="仿宋" w:eastAsia="仿宋_GB2312"/>
          <w:sz w:val="32"/>
          <w:szCs w:val="32"/>
        </w:rPr>
        <w:t>工作</w:t>
      </w:r>
      <w:r>
        <w:rPr>
          <w:rFonts w:ascii="仿宋_GB2312" w:hAnsi="仿宋" w:eastAsia="仿宋_GB2312"/>
          <w:sz w:val="32"/>
          <w:szCs w:val="32"/>
        </w:rPr>
        <w:t>，加快信息技术在保教管理中的实践应用</w:t>
      </w:r>
      <w:r>
        <w:rPr>
          <w:rFonts w:hint="eastAsia" w:ascii="仿宋_GB2312" w:hAnsi="仿宋" w:eastAsia="仿宋_GB2312"/>
          <w:sz w:val="32"/>
          <w:szCs w:val="32"/>
        </w:rPr>
        <w:t>。</w:t>
      </w:r>
      <w:r>
        <w:rPr>
          <w:rFonts w:ascii="仿宋_GB2312" w:hAnsi="仿宋" w:eastAsia="仿宋_GB2312"/>
          <w:sz w:val="32"/>
          <w:szCs w:val="32"/>
        </w:rPr>
        <w:t>加强公共卫生防疫管理，形成幼儿健康管理体系</w:t>
      </w:r>
      <w:r>
        <w:rPr>
          <w:rFonts w:hint="eastAsia" w:ascii="仿宋_GB2312" w:hAnsi="仿宋" w:eastAsia="仿宋_GB2312"/>
          <w:sz w:val="32"/>
          <w:szCs w:val="32"/>
        </w:rPr>
        <w:t>。</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推进义务教育优质均衡发展。</w:t>
      </w:r>
      <w:r>
        <w:rPr>
          <w:rFonts w:hint="eastAsia" w:ascii="仿宋_GB2312" w:hAnsi="仿宋" w:eastAsia="仿宋_GB2312"/>
          <w:sz w:val="32"/>
          <w:szCs w:val="32"/>
        </w:rPr>
        <w:t>深入贯彻落实《中共中央国务院关于深化教育教学改革全面提高义务教育质量的意见》，树立健康全面</w:t>
      </w:r>
      <w:r>
        <w:rPr>
          <w:rFonts w:ascii="仿宋_GB2312" w:hAnsi="仿宋" w:eastAsia="仿宋_GB2312"/>
          <w:sz w:val="32"/>
          <w:szCs w:val="32"/>
        </w:rPr>
        <w:t>的</w:t>
      </w:r>
      <w:r>
        <w:rPr>
          <w:rFonts w:hint="eastAsia" w:ascii="仿宋_GB2312" w:hAnsi="仿宋" w:eastAsia="仿宋_GB2312"/>
          <w:sz w:val="32"/>
          <w:szCs w:val="32"/>
        </w:rPr>
        <w:t>质量观，提升学生核心素养和综合能力，为学生终身学习和发展奠定基础。加强城乡</w:t>
      </w:r>
      <w:r>
        <w:rPr>
          <w:rFonts w:ascii="仿宋_GB2312" w:hAnsi="仿宋" w:eastAsia="仿宋_GB2312"/>
          <w:sz w:val="32"/>
          <w:szCs w:val="32"/>
        </w:rPr>
        <w:t>教育资源整合力度，</w:t>
      </w:r>
      <w:r>
        <w:rPr>
          <w:rFonts w:hint="eastAsia" w:ascii="仿宋_GB2312" w:hAnsi="仿宋" w:eastAsia="仿宋_GB2312"/>
          <w:sz w:val="32"/>
          <w:szCs w:val="32"/>
        </w:rPr>
        <w:t>大力推进紧密型集团化办学，强化</w:t>
      </w:r>
      <w:r>
        <w:rPr>
          <w:rFonts w:ascii="仿宋_GB2312" w:hAnsi="仿宋" w:eastAsia="仿宋_GB2312"/>
          <w:sz w:val="32"/>
          <w:szCs w:val="32"/>
        </w:rPr>
        <w:t>农村小规模学校内涵建设，办好家门口每一所学校</w:t>
      </w:r>
      <w:r>
        <w:rPr>
          <w:rFonts w:hint="eastAsia" w:ascii="仿宋_GB2312" w:hAnsi="仿宋" w:eastAsia="仿宋_GB2312"/>
          <w:sz w:val="32"/>
          <w:szCs w:val="32"/>
        </w:rPr>
        <w:t>。加大与中心城区优质学校的合作交流，巩固和扩大“新校+名校”合作办学成果。继续参与本市初中强校工程、城乡</w:t>
      </w:r>
      <w:r>
        <w:rPr>
          <w:rFonts w:ascii="仿宋_GB2312" w:hAnsi="仿宋" w:eastAsia="仿宋_GB2312"/>
          <w:sz w:val="32"/>
          <w:szCs w:val="32"/>
        </w:rPr>
        <w:t>携手共进计划和新优质学校项目</w:t>
      </w:r>
      <w:r>
        <w:rPr>
          <w:rFonts w:hint="eastAsia" w:ascii="仿宋_GB2312" w:hAnsi="仿宋" w:eastAsia="仿宋_GB2312"/>
          <w:sz w:val="32"/>
          <w:szCs w:val="32"/>
        </w:rPr>
        <w:t>，激发初中学校办学内生动力。坚持因材施教</w:t>
      </w:r>
      <w:r>
        <w:rPr>
          <w:rFonts w:ascii="仿宋_GB2312" w:hAnsi="仿宋" w:eastAsia="仿宋_GB2312"/>
          <w:sz w:val="32"/>
          <w:szCs w:val="32"/>
        </w:rPr>
        <w:t>，</w:t>
      </w:r>
      <w:r>
        <w:rPr>
          <w:rFonts w:hint="eastAsia" w:ascii="仿宋_GB2312" w:hAnsi="仿宋" w:eastAsia="仿宋_GB2312"/>
          <w:sz w:val="32"/>
          <w:szCs w:val="32"/>
        </w:rPr>
        <w:t>扎实推进国家课程校本化。推动理念转变和课堂转型。深化项目化学习、“主动·有效”课堂和</w:t>
      </w:r>
      <w:r>
        <w:rPr>
          <w:rFonts w:ascii="仿宋_GB2312" w:hAnsi="仿宋" w:eastAsia="仿宋_GB2312"/>
          <w:sz w:val="32"/>
          <w:szCs w:val="32"/>
        </w:rPr>
        <w:t>“</w:t>
      </w:r>
      <w:r>
        <w:rPr>
          <w:rFonts w:hint="eastAsia" w:ascii="仿宋_GB2312" w:hAnsi="仿宋" w:eastAsia="仿宋_GB2312"/>
          <w:sz w:val="32"/>
          <w:szCs w:val="32"/>
        </w:rPr>
        <w:t>今天</w:t>
      </w:r>
      <w:r>
        <w:rPr>
          <w:rFonts w:ascii="仿宋_GB2312" w:hAnsi="仿宋" w:eastAsia="仿宋_GB2312"/>
          <w:sz w:val="32"/>
          <w:szCs w:val="32"/>
        </w:rPr>
        <w:t>行动计划”</w:t>
      </w:r>
      <w:r>
        <w:rPr>
          <w:rFonts w:hint="eastAsia" w:ascii="仿宋_GB2312" w:hAnsi="仿宋" w:eastAsia="仿宋_GB2312"/>
          <w:sz w:val="32"/>
          <w:szCs w:val="32"/>
        </w:rPr>
        <w:t>，促进线上线下教育融合发展。改进义务教育学校评价，重点评价促进学生全面发展、保障学生平等权益、引领教师专业发展、提升教育教学水平、营造和谐育人环境、建设现代学校制度以及学业负担、社会满意度等。</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深化</w:t>
      </w:r>
      <w:r>
        <w:rPr>
          <w:rFonts w:ascii="仿宋_GB2312" w:hAnsi="仿宋" w:eastAsia="仿宋_GB2312"/>
          <w:b/>
          <w:sz w:val="32"/>
          <w:szCs w:val="32"/>
        </w:rPr>
        <w:t>普通</w:t>
      </w:r>
      <w:r>
        <w:rPr>
          <w:rFonts w:hint="eastAsia" w:ascii="仿宋_GB2312" w:hAnsi="仿宋" w:eastAsia="仿宋_GB2312"/>
          <w:b/>
          <w:sz w:val="32"/>
          <w:szCs w:val="32"/>
        </w:rPr>
        <w:t>高中育人方式改革。</w:t>
      </w:r>
      <w:r>
        <w:rPr>
          <w:rFonts w:hint="eastAsia" w:ascii="仿宋_GB2312" w:hAnsi="仿宋" w:eastAsia="仿宋_GB2312"/>
          <w:sz w:val="32"/>
          <w:szCs w:val="32"/>
        </w:rPr>
        <w:t>深入贯彻落实《国务院办公厅关于新时代推进普通高中育人方式改革的指导意见》，切实</w:t>
      </w:r>
      <w:r>
        <w:rPr>
          <w:rFonts w:ascii="仿宋_GB2312" w:hAnsi="仿宋" w:eastAsia="仿宋_GB2312"/>
          <w:sz w:val="32"/>
          <w:szCs w:val="32"/>
        </w:rPr>
        <w:t>转变育人方式，</w:t>
      </w:r>
      <w:r>
        <w:rPr>
          <w:rFonts w:hint="eastAsia" w:ascii="仿宋_GB2312" w:hAnsi="仿宋" w:eastAsia="仿宋_GB2312"/>
          <w:sz w:val="32"/>
          <w:szCs w:val="32"/>
        </w:rPr>
        <w:t>全面提高育人水平。深入推进普通高中新课程改革和高考综合改革，全面实施新课程和新教材，丰富和创新学校课程体系，鼓励学生参与社会实践、社区服务、研学旅行等综合实践活动，加强综合素质培养和职业生涯指导。</w:t>
      </w:r>
      <w:r>
        <w:rPr>
          <w:rFonts w:ascii="仿宋_GB2312" w:hAnsi="仿宋" w:eastAsia="仿宋_GB2312"/>
          <w:sz w:val="32"/>
          <w:szCs w:val="32"/>
        </w:rPr>
        <w:t>推进</w:t>
      </w:r>
      <w:r>
        <w:rPr>
          <w:rFonts w:hint="eastAsia" w:ascii="仿宋_GB2312" w:hAnsi="仿宋" w:eastAsia="仿宋_GB2312"/>
          <w:sz w:val="32"/>
          <w:szCs w:val="32"/>
        </w:rPr>
        <w:t>教学</w:t>
      </w:r>
      <w:r>
        <w:rPr>
          <w:rFonts w:ascii="仿宋_GB2312" w:hAnsi="仿宋" w:eastAsia="仿宋_GB2312"/>
          <w:sz w:val="32"/>
          <w:szCs w:val="32"/>
        </w:rPr>
        <w:t>变革，</w:t>
      </w:r>
      <w:r>
        <w:rPr>
          <w:rFonts w:hint="eastAsia" w:ascii="仿宋_GB2312" w:hAnsi="仿宋" w:eastAsia="仿宋_GB2312"/>
          <w:sz w:val="32"/>
          <w:szCs w:val="32"/>
        </w:rPr>
        <w:t>完善以选课走班为</w:t>
      </w:r>
      <w:r>
        <w:rPr>
          <w:rFonts w:ascii="仿宋_GB2312" w:hAnsi="仿宋" w:eastAsia="仿宋_GB2312"/>
          <w:sz w:val="32"/>
          <w:szCs w:val="32"/>
        </w:rPr>
        <w:t>特点的</w:t>
      </w:r>
      <w:r>
        <w:rPr>
          <w:rFonts w:hint="eastAsia" w:ascii="仿宋_GB2312" w:hAnsi="仿宋" w:eastAsia="仿宋_GB2312"/>
          <w:sz w:val="32"/>
          <w:szCs w:val="32"/>
        </w:rPr>
        <w:t>教学管理体系，探索以</w:t>
      </w:r>
      <w:r>
        <w:rPr>
          <w:rFonts w:ascii="仿宋_GB2312" w:hAnsi="仿宋" w:eastAsia="仿宋_GB2312"/>
          <w:sz w:val="32"/>
          <w:szCs w:val="32"/>
        </w:rPr>
        <w:t>大单元、大</w:t>
      </w:r>
      <w:r>
        <w:rPr>
          <w:rFonts w:hint="eastAsia" w:ascii="仿宋_GB2312" w:hAnsi="仿宋" w:eastAsia="仿宋_GB2312"/>
          <w:sz w:val="32"/>
          <w:szCs w:val="32"/>
        </w:rPr>
        <w:t>任务、</w:t>
      </w:r>
      <w:r>
        <w:rPr>
          <w:rFonts w:ascii="仿宋_GB2312" w:hAnsi="仿宋" w:eastAsia="仿宋_GB2312"/>
          <w:sz w:val="32"/>
          <w:szCs w:val="32"/>
        </w:rPr>
        <w:t>真实情景为导向</w:t>
      </w:r>
      <w:r>
        <w:rPr>
          <w:rFonts w:hint="eastAsia" w:ascii="仿宋_GB2312" w:hAnsi="仿宋" w:eastAsia="仿宋_GB2312"/>
          <w:sz w:val="32"/>
          <w:szCs w:val="32"/>
        </w:rPr>
        <w:t>的</w:t>
      </w:r>
      <w:r>
        <w:rPr>
          <w:rFonts w:ascii="仿宋_GB2312" w:hAnsi="仿宋" w:eastAsia="仿宋_GB2312"/>
          <w:sz w:val="32"/>
          <w:szCs w:val="32"/>
        </w:rPr>
        <w:t>教学设计，</w:t>
      </w:r>
      <w:r>
        <w:rPr>
          <w:rFonts w:hint="eastAsia" w:ascii="仿宋_GB2312" w:hAnsi="仿宋" w:eastAsia="仿宋_GB2312"/>
          <w:sz w:val="32"/>
          <w:szCs w:val="32"/>
        </w:rPr>
        <w:t>注重</w:t>
      </w:r>
      <w:r>
        <w:rPr>
          <w:rFonts w:ascii="仿宋_GB2312" w:hAnsi="仿宋" w:eastAsia="仿宋_GB2312"/>
          <w:sz w:val="32"/>
          <w:szCs w:val="32"/>
        </w:rPr>
        <w:t>启发式、</w:t>
      </w:r>
      <w:r>
        <w:rPr>
          <w:rFonts w:hint="eastAsia" w:ascii="仿宋_GB2312" w:hAnsi="仿宋" w:eastAsia="仿宋_GB2312"/>
          <w:sz w:val="32"/>
          <w:szCs w:val="32"/>
        </w:rPr>
        <w:t>互动式</w:t>
      </w:r>
      <w:r>
        <w:rPr>
          <w:rFonts w:ascii="仿宋_GB2312" w:hAnsi="仿宋" w:eastAsia="仿宋_GB2312"/>
          <w:sz w:val="32"/>
          <w:szCs w:val="32"/>
        </w:rPr>
        <w:t>、探究式</w:t>
      </w:r>
      <w:r>
        <w:rPr>
          <w:rFonts w:hint="eastAsia" w:ascii="仿宋_GB2312" w:hAnsi="仿宋" w:eastAsia="仿宋_GB2312"/>
          <w:sz w:val="32"/>
          <w:szCs w:val="32"/>
        </w:rPr>
        <w:t>教学和</w:t>
      </w:r>
      <w:r>
        <w:rPr>
          <w:rFonts w:ascii="仿宋_GB2312" w:hAnsi="仿宋" w:eastAsia="仿宋_GB2312"/>
          <w:sz w:val="32"/>
          <w:szCs w:val="32"/>
        </w:rPr>
        <w:t>线上线下</w:t>
      </w:r>
      <w:r>
        <w:rPr>
          <w:rFonts w:hint="eastAsia" w:ascii="仿宋_GB2312" w:hAnsi="仿宋" w:eastAsia="仿宋_GB2312"/>
          <w:sz w:val="32"/>
          <w:szCs w:val="32"/>
        </w:rPr>
        <w:t>融合</w:t>
      </w:r>
      <w:r>
        <w:rPr>
          <w:rFonts w:ascii="仿宋_GB2312" w:hAnsi="仿宋" w:eastAsia="仿宋_GB2312"/>
          <w:sz w:val="32"/>
          <w:szCs w:val="32"/>
        </w:rPr>
        <w:t>教学</w:t>
      </w:r>
      <w:r>
        <w:rPr>
          <w:rFonts w:hint="eastAsia" w:ascii="仿宋_GB2312" w:hAnsi="仿宋" w:eastAsia="仿宋_GB2312"/>
          <w:sz w:val="32"/>
          <w:szCs w:val="32"/>
        </w:rPr>
        <w:t>。加强个性化教育，探索创新型人才早期培养模式和路径，为不同潜质学生提供更多发展通道和空间。</w:t>
      </w:r>
      <w:r>
        <w:rPr>
          <w:rFonts w:ascii="仿宋_GB2312" w:hAnsi="仿宋" w:eastAsia="仿宋_GB2312"/>
          <w:sz w:val="32"/>
          <w:szCs w:val="32"/>
        </w:rPr>
        <w:t>参与</w:t>
      </w:r>
      <w:r>
        <w:rPr>
          <w:rFonts w:hint="eastAsia" w:ascii="仿宋_GB2312" w:hAnsi="仿宋" w:eastAsia="仿宋_GB2312"/>
          <w:sz w:val="32"/>
          <w:szCs w:val="32"/>
        </w:rPr>
        <w:t>本市特色高中、“双新”示范校项目校创建，促进高中学校分层</w:t>
      </w:r>
      <w:r>
        <w:rPr>
          <w:rFonts w:ascii="仿宋_GB2312" w:hAnsi="仿宋" w:eastAsia="仿宋_GB2312"/>
          <w:sz w:val="32"/>
          <w:szCs w:val="32"/>
        </w:rPr>
        <w:t>分类、</w:t>
      </w:r>
      <w:r>
        <w:rPr>
          <w:rFonts w:hint="eastAsia" w:ascii="仿宋_GB2312" w:hAnsi="仿宋" w:eastAsia="仿宋_GB2312"/>
          <w:sz w:val="32"/>
          <w:szCs w:val="32"/>
        </w:rPr>
        <w:t>高质量</w:t>
      </w:r>
      <w:r>
        <w:rPr>
          <w:rFonts w:ascii="仿宋_GB2312" w:hAnsi="仿宋" w:eastAsia="仿宋_GB2312"/>
          <w:sz w:val="32"/>
          <w:szCs w:val="32"/>
        </w:rPr>
        <w:t>、</w:t>
      </w:r>
      <w:r>
        <w:rPr>
          <w:rFonts w:hint="eastAsia" w:ascii="仿宋_GB2312" w:hAnsi="仿宋" w:eastAsia="仿宋_GB2312"/>
          <w:sz w:val="32"/>
          <w:szCs w:val="32"/>
        </w:rPr>
        <w:t>多样化、有特色发展。</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基础教育改革和品质提升项目</w:t>
            </w:r>
          </w:p>
          <w:p>
            <w:pPr>
              <w:adjustRightInd w:val="0"/>
              <w:snapToGrid w:val="0"/>
              <w:spacing w:line="560" w:lineRule="exact"/>
              <w:ind w:firstLine="600" w:firstLineChars="200"/>
              <w:rPr>
                <w:rFonts w:ascii="仿宋_GB2312" w:hAnsi="仿宋" w:eastAsia="仿宋_GB2312"/>
                <w:sz w:val="32"/>
                <w:szCs w:val="32"/>
              </w:rPr>
            </w:pPr>
            <w:r>
              <w:rPr>
                <w:rFonts w:hint="eastAsia" w:ascii="楷体_GB2312" w:hAnsi="华文楷体" w:eastAsia="楷体_GB2312"/>
                <w:sz w:val="30"/>
                <w:szCs w:val="30"/>
              </w:rPr>
              <w:t>深化义务教育区域和城乡教育合作，继续参与城乡携手共进计划和初中强校工程，确保本区通过教育部义务教育优质均衡发展区督导</w:t>
            </w:r>
            <w:r>
              <w:rPr>
                <w:rFonts w:ascii="楷体_GB2312" w:hAnsi="华文楷体" w:eastAsia="楷体_GB2312"/>
                <w:sz w:val="30"/>
                <w:szCs w:val="30"/>
              </w:rPr>
              <w:t>认定</w:t>
            </w:r>
            <w:r>
              <w:rPr>
                <w:rFonts w:hint="eastAsia" w:ascii="楷体_GB2312" w:hAnsi="华文楷体" w:eastAsia="楷体_GB2312"/>
                <w:sz w:val="30"/>
                <w:szCs w:val="30"/>
              </w:rPr>
              <w:t>。加强和改进集团化办学工作，突出紧密、一体、效益等关键要素，培育集团化办学示范单位。推进高中分层分类特色发展，强化学生综合素质和核心素养培育，强化五育融合和生涯指导。推进个性化学习空间建设，重点是学科教室、创新实验室、微实验室、公共开放学习空间等。参与全市特色高中和“双新”示范校、项目校创建。加强校本课程建设和管理，开发一批分层分类、反映特色、有利于因材施教的校本课程；实施“崇明区学生创新素养培养计划”；因地制宜打造学生社会实践课堂。深化“主动</w:t>
            </w:r>
            <w:r>
              <w:rPr>
                <w:rFonts w:hint="eastAsia" w:ascii="微软雅黑" w:hAnsi="微软雅黑" w:eastAsia="微软雅黑" w:cs="微软雅黑"/>
                <w:sz w:val="30"/>
                <w:szCs w:val="30"/>
              </w:rPr>
              <w:t>•</w:t>
            </w:r>
            <w:r>
              <w:rPr>
                <w:rFonts w:hint="eastAsia" w:ascii="楷体_GB2312" w:hAnsi="华文楷体" w:eastAsia="楷体_GB2312"/>
                <w:sz w:val="30"/>
                <w:szCs w:val="30"/>
              </w:rPr>
              <w:t>有效”课堂建设，定期评估诊断中小学课堂教学质量。推进选课走班教学，强化综合素质培养，用足用好线上市级资源。创新教育评价工具，建设基于大数据、人工智能等新技术的学习信息管理系统，用数据去精准、动态反映学生学情，实现作业、测评、课程的智能化适配。</w:t>
            </w:r>
          </w:p>
        </w:tc>
      </w:tr>
    </w:tbl>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提升特殊教育质量。</w:t>
      </w:r>
      <w:r>
        <w:rPr>
          <w:rFonts w:hint="eastAsia" w:ascii="仿宋_GB2312" w:hAnsi="仿宋" w:eastAsia="仿宋_GB2312"/>
          <w:sz w:val="32"/>
          <w:szCs w:val="32"/>
        </w:rPr>
        <w:t>落实特殊教育行动计划，加强统筹协调，完善以随班就读和</w:t>
      </w:r>
      <w:r>
        <w:rPr>
          <w:rFonts w:ascii="仿宋_GB2312" w:hAnsi="仿宋" w:eastAsia="仿宋_GB2312"/>
          <w:sz w:val="32"/>
          <w:szCs w:val="32"/>
        </w:rPr>
        <w:t>特教班</w:t>
      </w:r>
      <w:r>
        <w:rPr>
          <w:rFonts w:hint="eastAsia" w:ascii="仿宋_GB2312" w:hAnsi="仿宋" w:eastAsia="仿宋_GB2312"/>
          <w:sz w:val="32"/>
          <w:szCs w:val="32"/>
        </w:rPr>
        <w:t>为主体、特教学校为骨干、送教上门为补充的特教体系。促进学前教育、义务教育和职业教育各学段特殊教育的有效衔接，</w:t>
      </w:r>
      <w:r>
        <w:rPr>
          <w:rFonts w:ascii="仿宋_GB2312" w:hAnsi="仿宋" w:eastAsia="仿宋_GB2312"/>
          <w:sz w:val="32"/>
          <w:szCs w:val="32"/>
        </w:rPr>
        <w:t>推进</w:t>
      </w:r>
      <w:r>
        <w:rPr>
          <w:rFonts w:hint="eastAsia" w:ascii="仿宋_GB2312" w:hAnsi="仿宋" w:eastAsia="仿宋_GB2312"/>
          <w:sz w:val="32"/>
          <w:szCs w:val="32"/>
        </w:rPr>
        <w:t>各学段特殊教育课程体系建设。加强融合教育，深化医教结合，完善专业服务机制，努力满足各类特殊学生的教育需求；优化特教中心、资源教室、各类特教点的资源配置，推进特教学校（点）现代化建设进程。加强特教专职师资配备，扩大专职教师配置比例，提升特殊教育教学及康复质量。</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提高职业教育人才培养质量。</w:t>
      </w:r>
      <w:r>
        <w:rPr>
          <w:rFonts w:hint="eastAsia" w:ascii="仿宋_GB2312" w:hAnsi="仿宋" w:eastAsia="仿宋_GB2312"/>
          <w:sz w:val="32"/>
          <w:szCs w:val="32"/>
        </w:rPr>
        <w:t>贯彻落实《国家职业教育改革实施方案》，推动职业教育改革创新。调整优化工技校专业设置，推动技能型人才供给侧改革，更好服务崇明世界级生态岛建设。加强专业建设，参与重大职业技能竞赛，提升品牌专业竞争力和影响力。积极参与本市职业教育教材、教法、教师“三教”改革，推进教学模式改革创新，提高教师课程教学能力。健全产教融合、校企合作运行管理机制，推进校企合作办学、合作育人、合作开发课程、合作促进就业。深化贯通培养，研究推动新型高职建设。推进职业学校评价改革，把德技并修、产教融合、校企合作、育训结合、技能水平、就业质量和“双师型”教师队伍建设等情况作为</w:t>
      </w:r>
      <w:r>
        <w:rPr>
          <w:rFonts w:ascii="仿宋_GB2312" w:hAnsi="仿宋" w:eastAsia="仿宋_GB2312"/>
          <w:sz w:val="32"/>
          <w:szCs w:val="32"/>
        </w:rPr>
        <w:t>重要</w:t>
      </w:r>
      <w:r>
        <w:rPr>
          <w:rFonts w:hint="eastAsia" w:ascii="仿宋_GB2312" w:hAnsi="仿宋" w:eastAsia="仿宋_GB2312"/>
          <w:sz w:val="32"/>
          <w:szCs w:val="32"/>
        </w:rPr>
        <w:t>评价</w:t>
      </w:r>
      <w:r>
        <w:rPr>
          <w:rFonts w:ascii="仿宋_GB2312" w:hAnsi="仿宋" w:eastAsia="仿宋_GB2312"/>
          <w:sz w:val="32"/>
          <w:szCs w:val="32"/>
        </w:rPr>
        <w:t>内容</w:t>
      </w:r>
      <w:r>
        <w:rPr>
          <w:rFonts w:hint="eastAsia" w:ascii="仿宋_GB2312" w:hAnsi="仿宋" w:eastAsia="仿宋_GB2312"/>
          <w:sz w:val="32"/>
          <w:szCs w:val="32"/>
        </w:rPr>
        <w:t>。强化职业培训职能，把开展职业培训的质量作为核定职业学校教师绩效工资总量的重要依据。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深化职业教育改革创新项目</w:t>
            </w:r>
          </w:p>
          <w:p>
            <w:pPr>
              <w:adjustRightInd w:val="0"/>
              <w:snapToGrid w:val="0"/>
              <w:spacing w:line="560" w:lineRule="exact"/>
              <w:ind w:firstLine="600" w:firstLineChars="200"/>
              <w:rPr>
                <w:rFonts w:ascii="仿宋_GB2312" w:hAnsi="仿宋" w:eastAsia="仿宋_GB2312"/>
                <w:sz w:val="32"/>
                <w:szCs w:val="32"/>
              </w:rPr>
            </w:pPr>
            <w:r>
              <w:rPr>
                <w:rFonts w:hint="eastAsia" w:ascii="楷体_GB2312" w:hAnsi="华文楷体" w:eastAsia="楷体_GB2312"/>
                <w:sz w:val="30"/>
                <w:szCs w:val="30"/>
              </w:rPr>
              <w:t>做精中职教育，以上海“五个中心”建设和崇明世界级生态岛建设产业调整为导向，调整优化工技校专业设置和课程计划，深化教学模式改革，优化教学方法技术，加强德育、文化和职业素养教育，参与重大职业技能竞赛，提升学生职业核心素养，打造示范品牌专业，提升专业建设的核心竞争力。加强与行业、企业的联手合作，完善产教融合、校企合作运行机制，促进工技校在更高起点融合开放办学，提高人才培养质量。在中高、中本贯通培养基础上，研究推动新型高职建设，更好满足区域产业发展对高技能人才的需求。促进育训结合，面向在职职工和就业重点群体，提供更多更高质量的职业技能培训。</w:t>
            </w:r>
          </w:p>
        </w:tc>
      </w:tr>
    </w:tbl>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完善终身教育体系。</w:t>
      </w:r>
      <w:r>
        <w:rPr>
          <w:rFonts w:hint="eastAsia" w:ascii="仿宋_GB2312" w:hAnsi="仿宋" w:eastAsia="仿宋_GB2312"/>
          <w:sz w:val="32"/>
          <w:szCs w:val="32"/>
        </w:rPr>
        <w:t>积极贯彻《教育部等九部门关于进一步推进社区教育发展的意见》，坚持以人为本的发展理念，推动终身教育不断创新。努力完善服务全民终身学习的教育体系，创建各类学习型组织，促进终身教育泛在可选</w:t>
      </w:r>
      <w:r>
        <w:rPr>
          <w:rFonts w:ascii="仿宋_GB2312" w:hAnsi="仿宋" w:eastAsia="仿宋_GB2312"/>
          <w:sz w:val="32"/>
          <w:szCs w:val="32"/>
        </w:rPr>
        <w:t>，更好满足市民学习需求，</w:t>
      </w:r>
      <w:r>
        <w:rPr>
          <w:rFonts w:hint="eastAsia" w:ascii="仿宋_GB2312" w:hAnsi="仿宋" w:eastAsia="仿宋_GB2312"/>
          <w:sz w:val="32"/>
          <w:szCs w:val="32"/>
        </w:rPr>
        <w:t>提升学习型城区品质。探索教师职务培训和教学评优模式，培育骨干师资，促进教师专业成长。整合区域公共教育资源，动员各方力量参与终身教育，联合共建共享生态特色、长寿品牌。加强终身教育信息化建设，建设市民学习信息中心等多样化学习平台。</w:t>
      </w:r>
      <w:r>
        <w:rPr>
          <w:rFonts w:ascii="仿宋_GB2312" w:hAnsi="仿宋" w:eastAsia="仿宋_GB2312"/>
          <w:sz w:val="32"/>
          <w:szCs w:val="32"/>
        </w:rPr>
        <w:t>加强</w:t>
      </w:r>
      <w:r>
        <w:rPr>
          <w:rFonts w:hint="eastAsia" w:ascii="仿宋_GB2312" w:hAnsi="仿宋" w:eastAsia="仿宋_GB2312"/>
          <w:sz w:val="32"/>
          <w:szCs w:val="32"/>
        </w:rPr>
        <w:t>市民</w:t>
      </w:r>
      <w:r>
        <w:rPr>
          <w:rFonts w:ascii="仿宋_GB2312" w:hAnsi="仿宋" w:eastAsia="仿宋_GB2312"/>
          <w:sz w:val="32"/>
          <w:szCs w:val="32"/>
        </w:rPr>
        <w:t>学历提升工作，</w:t>
      </w:r>
      <w:r>
        <w:rPr>
          <w:rFonts w:hint="eastAsia" w:ascii="仿宋_GB2312" w:hAnsi="仿宋" w:eastAsia="仿宋_GB2312"/>
          <w:sz w:val="32"/>
          <w:szCs w:val="32"/>
        </w:rPr>
        <w:t>拓宽教育覆盖面，</w:t>
      </w:r>
      <w:r>
        <w:rPr>
          <w:rFonts w:ascii="仿宋_GB2312" w:hAnsi="仿宋" w:eastAsia="仿宋_GB2312"/>
          <w:sz w:val="32"/>
          <w:szCs w:val="32"/>
        </w:rPr>
        <w:t>有效提升</w:t>
      </w:r>
      <w:r>
        <w:rPr>
          <w:rFonts w:hint="eastAsia" w:ascii="仿宋_GB2312" w:hAnsi="仿宋" w:eastAsia="仿宋_GB2312"/>
          <w:sz w:val="32"/>
          <w:szCs w:val="32"/>
        </w:rPr>
        <w:t>市民</w:t>
      </w:r>
      <w:r>
        <w:rPr>
          <w:rFonts w:ascii="仿宋_GB2312" w:hAnsi="仿宋" w:eastAsia="仿宋_GB2312"/>
          <w:sz w:val="32"/>
          <w:szCs w:val="32"/>
        </w:rPr>
        <w:t>受教育</w:t>
      </w:r>
      <w:r>
        <w:rPr>
          <w:rFonts w:hint="eastAsia" w:ascii="仿宋_GB2312" w:hAnsi="仿宋" w:eastAsia="仿宋_GB2312"/>
          <w:sz w:val="32"/>
          <w:szCs w:val="32"/>
        </w:rPr>
        <w:t>年限。</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完善和发展终身教育体系项目</w:t>
            </w:r>
          </w:p>
          <w:p>
            <w:pPr>
              <w:autoSpaceDE w:val="0"/>
              <w:adjustRightInd w:val="0"/>
              <w:snapToGrid w:val="0"/>
              <w:spacing w:line="560" w:lineRule="exact"/>
              <w:rPr>
                <w:rFonts w:ascii="仿宋_GB2312" w:hAnsi="仿宋" w:eastAsia="仿宋_GB2312"/>
                <w:sz w:val="32"/>
                <w:szCs w:val="32"/>
              </w:rPr>
            </w:pPr>
            <w:r>
              <w:rPr>
                <w:rFonts w:hint="eastAsia" w:ascii="楷体_GB2312" w:hAnsi="华文楷体" w:eastAsia="楷体_GB2312"/>
                <w:sz w:val="30"/>
                <w:szCs w:val="30"/>
              </w:rPr>
              <w:t xml:space="preserve">    加强顶层设计，统筹整合各部门学习型城区创建要素，构建全区终身教育学习体系。建设以专职教师为主、专兼职与志愿者相结合的教师队伍。进一步挖掘整合资源，扩大教育公共服务的覆盖面和受益面，真正实现终身教育不同年龄的全程性、全纳性。加大宣传力度，营造浓厚学习氛围，开设与本区经济社会发展相适应、符合居民需求的实用性、多样化课程，不断激发群众的学习兴趣。加强信息化学习环境建设，完善高质量的网上学习资源，促进居民个性化、自主性学习，优化学习体验。继续做强、做实、做优生态和长寿教育品牌，加强与各地终身教育品牌、优秀实践项目的交流共享，以花博会和后花博为契机，进一步提升品牌影响力，助力学习型城区建设。</w:t>
            </w:r>
          </w:p>
        </w:tc>
      </w:tr>
    </w:tbl>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规范发展民办教育和培训市场。</w:t>
      </w:r>
      <w:r>
        <w:rPr>
          <w:rFonts w:hint="eastAsia" w:ascii="仿宋_GB2312" w:hAnsi="仿宋" w:eastAsia="仿宋_GB2312"/>
          <w:sz w:val="32"/>
          <w:szCs w:val="32"/>
        </w:rPr>
        <w:t>依法依规促进民办教育有序健康发展，坚持优质特色发展导向，落实“公参民”管理工作以及</w:t>
      </w:r>
      <w:r>
        <w:rPr>
          <w:rFonts w:ascii="仿宋_GB2312" w:hAnsi="仿宋" w:eastAsia="仿宋_GB2312"/>
          <w:sz w:val="32"/>
          <w:szCs w:val="32"/>
        </w:rPr>
        <w:t>民办义务教育学校招生改革政策</w:t>
      </w:r>
      <w:r>
        <w:rPr>
          <w:rFonts w:hint="eastAsia" w:ascii="仿宋_GB2312" w:hAnsi="仿宋" w:eastAsia="仿宋_GB2312"/>
          <w:sz w:val="32"/>
          <w:szCs w:val="32"/>
        </w:rPr>
        <w:t>，促进教育公平，激发办学活力，推进品牌建设，形成良好的民办学校发展生态，满足人民群众对教育服务多样化的需求。积极贯彻落实《上海市人民政府关于加强本市培训机构管理促进培训市场健康发展的意见》《上海市培训机构监督管理办法》，健全区培训市场综合治理联席会议工作机制，规范市场准入，提升服务能级，强化行业监管，建立完善多部门联动协作机制。压实机构主体责任，推广使用规范合同，建立民办培训机构信用分类分级管理机制，增强激励惩戒力度，推动行业规范发展。</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推动国际教育开放多元发展。</w:t>
      </w:r>
      <w:r>
        <w:rPr>
          <w:rFonts w:hint="eastAsia" w:ascii="仿宋_GB2312" w:hAnsi="仿宋" w:eastAsia="仿宋_GB2312"/>
          <w:sz w:val="32"/>
          <w:szCs w:val="32"/>
        </w:rPr>
        <w:t>建设与世界级生态岛相匹配的教育开放体系，健全国际交流机制，筑高国际交流平台，提升教育对外开放水平。加强与基础教育品牌民办教育机构的办学合作，引进</w:t>
      </w:r>
      <w:r>
        <w:rPr>
          <w:rFonts w:ascii="仿宋_GB2312" w:hAnsi="仿宋" w:eastAsia="仿宋_GB2312"/>
          <w:sz w:val="32"/>
          <w:szCs w:val="32"/>
        </w:rPr>
        <w:t>国际课程。</w:t>
      </w:r>
      <w:r>
        <w:rPr>
          <w:rFonts w:hint="eastAsia" w:ascii="仿宋_GB2312" w:hAnsi="仿宋" w:eastAsia="仿宋_GB2312"/>
          <w:sz w:val="32"/>
          <w:szCs w:val="32"/>
        </w:rPr>
        <w:t>加强国际理解教育，鼓励本土学校设计双语教学跨文化素养课程，开展基于生态教育、传统文化的跨文化教育。多渠道开展校际和师生国际交流，支持教师和校长参加海外培训，有效提升教师国际视野和教育教学能力；建设若干个国际教育合作与交流示范学校，培养学生国际理解、交往和竞争能力。优化“外籍教师进校园”工作。</w:t>
      </w:r>
    </w:p>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（四）整合教育资源，优化教育供给</w:t>
      </w:r>
      <w:r>
        <w:rPr>
          <w:rFonts w:ascii="楷体_GB2312" w:hAnsi="楷体" w:eastAsia="楷体_GB2312"/>
          <w:sz w:val="32"/>
          <w:szCs w:val="32"/>
        </w:rPr>
        <w:t>，</w:t>
      </w:r>
      <w:r>
        <w:rPr>
          <w:rFonts w:hint="eastAsia" w:ascii="楷体_GB2312" w:hAnsi="楷体" w:eastAsia="楷体_GB2312"/>
          <w:sz w:val="32"/>
          <w:szCs w:val="32"/>
        </w:rPr>
        <w:t>提升服务社会发展能级和水平</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优化城乡基础教育供给。</w:t>
      </w:r>
      <w:r>
        <w:rPr>
          <w:rFonts w:hint="eastAsia" w:ascii="仿宋_GB2312" w:hAnsi="仿宋" w:eastAsia="仿宋_GB2312"/>
          <w:sz w:val="32"/>
          <w:szCs w:val="32"/>
        </w:rPr>
        <w:t>彰显</w:t>
      </w:r>
      <w:r>
        <w:rPr>
          <w:rFonts w:ascii="仿宋_GB2312" w:hAnsi="仿宋" w:eastAsia="仿宋_GB2312"/>
          <w:sz w:val="32"/>
          <w:szCs w:val="32"/>
        </w:rPr>
        <w:t>人民城市的人</w:t>
      </w:r>
      <w:r>
        <w:rPr>
          <w:rFonts w:hint="eastAsia" w:ascii="仿宋_GB2312" w:hAnsi="仿宋" w:eastAsia="仿宋_GB2312"/>
          <w:sz w:val="32"/>
          <w:szCs w:val="32"/>
        </w:rPr>
        <w:t>本</w:t>
      </w:r>
      <w:r>
        <w:rPr>
          <w:rFonts w:ascii="仿宋_GB2312" w:hAnsi="仿宋" w:eastAsia="仿宋_GB2312"/>
          <w:sz w:val="32"/>
          <w:szCs w:val="32"/>
        </w:rPr>
        <w:t>价值，</w:t>
      </w:r>
      <w:r>
        <w:rPr>
          <w:rFonts w:hint="eastAsia" w:ascii="仿宋_GB2312" w:hAnsi="仿宋" w:eastAsia="仿宋_GB2312"/>
          <w:sz w:val="32"/>
          <w:szCs w:val="32"/>
        </w:rPr>
        <w:t>城桥镇、陈家镇、长兴镇在现有基础上根据人口数量和</w:t>
      </w:r>
      <w:r>
        <w:rPr>
          <w:rFonts w:ascii="仿宋_GB2312" w:hAnsi="仿宋" w:eastAsia="仿宋_GB2312"/>
          <w:sz w:val="32"/>
          <w:szCs w:val="32"/>
        </w:rPr>
        <w:t>结构变化，</w:t>
      </w:r>
      <w:r>
        <w:rPr>
          <w:rFonts w:hint="eastAsia" w:ascii="仿宋_GB2312" w:hAnsi="仿宋" w:eastAsia="仿宋_GB2312"/>
          <w:sz w:val="32"/>
          <w:szCs w:val="32"/>
        </w:rPr>
        <w:t>规划新建一批中小学和幼儿园，</w:t>
      </w:r>
      <w:r>
        <w:rPr>
          <w:rFonts w:ascii="仿宋_GB2312" w:hAnsi="仿宋" w:eastAsia="仿宋_GB2312"/>
          <w:sz w:val="32"/>
          <w:szCs w:val="32"/>
        </w:rPr>
        <w:t>并引进品牌教育资源，增强优质资源供给，</w:t>
      </w:r>
      <w:r>
        <w:rPr>
          <w:rFonts w:hint="eastAsia" w:ascii="仿宋_GB2312" w:hAnsi="仿宋" w:eastAsia="仿宋_GB2312"/>
          <w:sz w:val="32"/>
          <w:szCs w:val="32"/>
        </w:rPr>
        <w:t>推动基础教育进一步提高质量，基本实现三个地区全学段优质基础教育全覆盖。堡镇地区以增强优质学前教育供给、改善义务教育和</w:t>
      </w:r>
      <w:r>
        <w:rPr>
          <w:rFonts w:ascii="仿宋_GB2312" w:hAnsi="仿宋" w:eastAsia="仿宋_GB2312"/>
          <w:sz w:val="32"/>
          <w:szCs w:val="32"/>
        </w:rPr>
        <w:t>高中</w:t>
      </w:r>
      <w:r>
        <w:rPr>
          <w:rFonts w:hint="eastAsia" w:ascii="仿宋_GB2312" w:hAnsi="仿宋" w:eastAsia="仿宋_GB2312"/>
          <w:sz w:val="32"/>
          <w:szCs w:val="32"/>
        </w:rPr>
        <w:t>办学条件为主要任务。在有关大型农民集中居住区域配套建设义务教育学校。其它1</w:t>
      </w:r>
      <w:r>
        <w:rPr>
          <w:rFonts w:ascii="仿宋_GB2312" w:hAnsi="仿宋" w:eastAsia="仿宋_GB2312"/>
          <w:sz w:val="32"/>
          <w:szCs w:val="32"/>
        </w:rPr>
        <w:t>4</w:t>
      </w:r>
      <w:r>
        <w:rPr>
          <w:rFonts w:hint="eastAsia" w:ascii="仿宋_GB2312" w:hAnsi="仿宋" w:eastAsia="仿宋_GB2312"/>
          <w:sz w:val="32"/>
          <w:szCs w:val="32"/>
        </w:rPr>
        <w:t>个乡镇原则上仅保留1所幼儿园（园区）、1</w:t>
      </w:r>
      <w:r>
        <w:rPr>
          <w:rFonts w:ascii="仿宋_GB2312" w:hAnsi="仿宋" w:eastAsia="仿宋_GB2312"/>
          <w:sz w:val="32"/>
          <w:szCs w:val="32"/>
        </w:rPr>
        <w:t>-2</w:t>
      </w:r>
      <w:r>
        <w:rPr>
          <w:rFonts w:hint="eastAsia" w:ascii="仿宋_GB2312" w:hAnsi="仿宋" w:eastAsia="仿宋_GB2312"/>
          <w:sz w:val="32"/>
          <w:szCs w:val="32"/>
        </w:rPr>
        <w:t>所义务教育阶段</w:t>
      </w:r>
      <w:r>
        <w:rPr>
          <w:rFonts w:ascii="仿宋_GB2312" w:hAnsi="仿宋" w:eastAsia="仿宋_GB2312"/>
          <w:sz w:val="32"/>
          <w:szCs w:val="32"/>
        </w:rPr>
        <w:t>学校</w:t>
      </w:r>
      <w:r>
        <w:rPr>
          <w:rFonts w:hint="eastAsia" w:ascii="仿宋_GB2312" w:hAnsi="仿宋" w:eastAsia="仿宋_GB2312"/>
          <w:sz w:val="32"/>
          <w:szCs w:val="32"/>
        </w:rPr>
        <w:t>（校区），并加大</w:t>
      </w:r>
      <w:r>
        <w:rPr>
          <w:rFonts w:ascii="仿宋_GB2312" w:hAnsi="仿宋" w:eastAsia="仿宋_GB2312"/>
          <w:sz w:val="32"/>
          <w:szCs w:val="32"/>
        </w:rPr>
        <w:t>集团化办学</w:t>
      </w:r>
      <w:r>
        <w:rPr>
          <w:rFonts w:hint="eastAsia" w:ascii="仿宋_GB2312" w:hAnsi="仿宋" w:eastAsia="仿宋_GB2312"/>
          <w:sz w:val="32"/>
          <w:szCs w:val="32"/>
        </w:rPr>
        <w:t>力度</w:t>
      </w:r>
      <w:r>
        <w:rPr>
          <w:rFonts w:ascii="仿宋_GB2312" w:hAnsi="仿宋" w:eastAsia="仿宋_GB2312"/>
          <w:sz w:val="32"/>
          <w:szCs w:val="32"/>
        </w:rPr>
        <w:t>，</w:t>
      </w:r>
      <w:r>
        <w:rPr>
          <w:rFonts w:hint="eastAsia" w:ascii="仿宋_GB2312" w:hAnsi="仿宋" w:eastAsia="仿宋_GB2312"/>
          <w:sz w:val="32"/>
          <w:szCs w:val="32"/>
        </w:rPr>
        <w:t>不断提高教育资源集约使用效益和办学质量。</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各类教育资源优化整合项目</w:t>
            </w:r>
          </w:p>
          <w:p>
            <w:pPr>
              <w:adjustRightInd w:val="0"/>
              <w:snapToGrid w:val="0"/>
              <w:spacing w:line="560" w:lineRule="exact"/>
              <w:ind w:firstLine="600" w:firstLineChars="200"/>
              <w:rPr>
                <w:rFonts w:ascii="仿宋_GB2312" w:hAnsi="仿宋" w:eastAsia="仿宋_GB2312"/>
                <w:sz w:val="30"/>
                <w:szCs w:val="30"/>
              </w:rPr>
            </w:pPr>
            <w:r>
              <w:rPr>
                <w:rFonts w:hint="eastAsia" w:ascii="楷体_GB2312" w:hAnsi="华文楷体" w:eastAsia="楷体_GB2312"/>
                <w:sz w:val="30"/>
                <w:szCs w:val="30"/>
              </w:rPr>
              <w:t>以2020年9月底学校机构设置为基准，逐步撤并部分低效量小的幼儿园和</w:t>
            </w:r>
            <w:r>
              <w:rPr>
                <w:rFonts w:ascii="楷体_GB2312" w:hAnsi="华文楷体" w:eastAsia="楷体_GB2312"/>
                <w:sz w:val="30"/>
                <w:szCs w:val="30"/>
              </w:rPr>
              <w:t>义务教育学校</w:t>
            </w:r>
            <w:r>
              <w:rPr>
                <w:rFonts w:hint="eastAsia" w:ascii="楷体_GB2312" w:hAnsi="华文楷体" w:eastAsia="楷体_GB2312"/>
                <w:sz w:val="30"/>
                <w:szCs w:val="30"/>
              </w:rPr>
              <w:t>，加大集团化办学力度，</w:t>
            </w:r>
            <w:r>
              <w:rPr>
                <w:rFonts w:ascii="楷体_GB2312" w:hAnsi="华文楷体" w:eastAsia="楷体_GB2312"/>
                <w:sz w:val="30"/>
                <w:szCs w:val="30"/>
              </w:rPr>
              <w:t>提高资源集约化程度</w:t>
            </w:r>
            <w:r>
              <w:rPr>
                <w:rFonts w:hint="eastAsia" w:ascii="楷体_GB2312" w:hAnsi="华文楷体" w:eastAsia="楷体_GB2312"/>
                <w:sz w:val="30"/>
                <w:szCs w:val="30"/>
              </w:rPr>
              <w:t>。新建堡镇25号地块幼儿园、城桥镇9、44、49号地块幼儿园。新建上海市实验小学长兴分校，支持基础教育品牌民办学校在长兴镇设立</w:t>
            </w:r>
            <w:r>
              <w:rPr>
                <w:rFonts w:ascii="楷体_GB2312" w:hAnsi="华文楷体" w:eastAsia="楷体_GB2312"/>
                <w:sz w:val="30"/>
                <w:szCs w:val="30"/>
              </w:rPr>
              <w:t>分校</w:t>
            </w:r>
            <w:r>
              <w:rPr>
                <w:rFonts w:hint="eastAsia" w:ascii="楷体_GB2312" w:hAnsi="华文楷体" w:eastAsia="楷体_GB2312"/>
                <w:sz w:val="30"/>
                <w:szCs w:val="30"/>
              </w:rPr>
              <w:t>，在长兴镇基本形成全学段优质基础教育全覆盖。在城桥镇49号地块新建九年一贯学校，上海市向明初中附属江帆中学启用运行。在有关</w:t>
            </w:r>
            <w:r>
              <w:rPr>
                <w:rFonts w:ascii="楷体_GB2312" w:hAnsi="华文楷体" w:eastAsia="楷体_GB2312"/>
                <w:sz w:val="30"/>
                <w:szCs w:val="30"/>
              </w:rPr>
              <w:t>大型农民集中居住区规划义务教育学校</w:t>
            </w:r>
            <w:r>
              <w:rPr>
                <w:rFonts w:hint="eastAsia" w:ascii="楷体_GB2312" w:hAnsi="华文楷体" w:eastAsia="楷体_GB2312"/>
                <w:sz w:val="30"/>
                <w:szCs w:val="30"/>
              </w:rPr>
              <w:t>。优化普通高中布局，适时撤并有关学校，在陈家镇新建上海市实验学校东滩高级中学，在</w:t>
            </w:r>
            <w:r>
              <w:rPr>
                <w:rFonts w:ascii="楷体_GB2312" w:hAnsi="华文楷体" w:eastAsia="楷体_GB2312"/>
                <w:sz w:val="30"/>
                <w:szCs w:val="30"/>
              </w:rPr>
              <w:t>陈家镇</w:t>
            </w:r>
            <w:r>
              <w:rPr>
                <w:rFonts w:hint="eastAsia" w:ascii="楷体_GB2312" w:hAnsi="华文楷体" w:eastAsia="楷体_GB2312"/>
                <w:sz w:val="30"/>
                <w:szCs w:val="30"/>
              </w:rPr>
              <w:t>基本形成全学段优质基础教育全覆盖。</w:t>
            </w:r>
          </w:p>
        </w:tc>
      </w:tr>
    </w:tbl>
    <w:p>
      <w:pPr>
        <w:adjustRightInd w:val="0"/>
        <w:snapToGrid w:val="0"/>
        <w:spacing w:line="560" w:lineRule="exact"/>
        <w:ind w:firstLine="600"/>
        <w:rPr>
          <w:rFonts w:ascii="仿宋_GB2312" w:hAnsi="仿宋" w:eastAsia="仿宋_GB2312"/>
          <w:sz w:val="32"/>
          <w:szCs w:val="32"/>
        </w:rPr>
      </w:pPr>
      <w:r>
        <w:rPr>
          <w:rFonts w:ascii="仿宋_GB2312" w:hAnsi="仿宋" w:eastAsia="仿宋_GB2312"/>
          <w:b/>
          <w:sz w:val="32"/>
          <w:szCs w:val="32"/>
        </w:rPr>
        <w:t>优化</w:t>
      </w:r>
      <w:r>
        <w:rPr>
          <w:rFonts w:hint="eastAsia" w:ascii="仿宋_GB2312" w:hAnsi="仿宋" w:eastAsia="仿宋_GB2312"/>
          <w:b/>
          <w:sz w:val="32"/>
          <w:szCs w:val="32"/>
        </w:rPr>
        <w:t>社区教育和</w:t>
      </w:r>
      <w:r>
        <w:rPr>
          <w:rFonts w:ascii="仿宋_GB2312" w:hAnsi="仿宋" w:eastAsia="仿宋_GB2312"/>
          <w:b/>
          <w:sz w:val="32"/>
          <w:szCs w:val="32"/>
        </w:rPr>
        <w:t>校外教育供给。</w:t>
      </w:r>
      <w:r>
        <w:rPr>
          <w:rFonts w:hint="eastAsia" w:ascii="仿宋_GB2312" w:hAnsi="仿宋" w:eastAsia="仿宋_GB2312"/>
          <w:sz w:val="32"/>
          <w:szCs w:val="32"/>
        </w:rPr>
        <w:t>整合开大崇明分校、社区学院和各成人学校、社区学校的资源，成立崇明成人教育集团，提升成人学历教育、非学历培训和社区教育协同发展的能力水平，</w:t>
      </w:r>
      <w:r>
        <w:rPr>
          <w:rFonts w:ascii="仿宋_GB2312" w:hAnsi="仿宋" w:eastAsia="仿宋_GB2312"/>
          <w:sz w:val="32"/>
          <w:szCs w:val="32"/>
        </w:rPr>
        <w:t>满足</w:t>
      </w:r>
      <w:r>
        <w:rPr>
          <w:rFonts w:hint="eastAsia" w:ascii="仿宋_GB2312" w:hAnsi="仿宋" w:eastAsia="仿宋_GB2312"/>
          <w:sz w:val="32"/>
          <w:szCs w:val="32"/>
        </w:rPr>
        <w:t>人民群众接受</w:t>
      </w:r>
      <w:r>
        <w:rPr>
          <w:rFonts w:ascii="仿宋_GB2312" w:hAnsi="仿宋" w:eastAsia="仿宋_GB2312"/>
          <w:sz w:val="32"/>
          <w:szCs w:val="32"/>
        </w:rPr>
        <w:t>终身教育的需要</w:t>
      </w:r>
      <w:r>
        <w:rPr>
          <w:rFonts w:hint="eastAsia" w:ascii="仿宋_GB2312" w:hAnsi="仿宋" w:eastAsia="仿宋_GB2312"/>
          <w:sz w:val="32"/>
          <w:szCs w:val="32"/>
        </w:rPr>
        <w:t>。补充完善青少年校外教育资源，在庙镇、长兴镇等地区利用</w:t>
      </w:r>
      <w:r>
        <w:rPr>
          <w:rFonts w:ascii="仿宋_GB2312" w:hAnsi="仿宋" w:eastAsia="仿宋_GB2312"/>
          <w:sz w:val="32"/>
          <w:szCs w:val="32"/>
        </w:rPr>
        <w:t>存量教育资源</w:t>
      </w:r>
      <w:r>
        <w:rPr>
          <w:rFonts w:hint="eastAsia" w:ascii="仿宋_GB2312" w:hAnsi="仿宋" w:eastAsia="仿宋_GB2312"/>
          <w:sz w:val="32"/>
          <w:szCs w:val="32"/>
        </w:rPr>
        <w:t>布局区级青少年校外教育分支机构，其他乡镇完善乡村少年宫基础能力，全区形成“1+4+1</w:t>
      </w:r>
      <w:r>
        <w:rPr>
          <w:rFonts w:ascii="仿宋_GB2312" w:hAnsi="仿宋" w:eastAsia="仿宋_GB2312"/>
          <w:sz w:val="32"/>
          <w:szCs w:val="32"/>
        </w:rPr>
        <w:t>3</w:t>
      </w:r>
      <w:r>
        <w:rPr>
          <w:rFonts w:hint="eastAsia" w:ascii="仿宋_GB2312" w:hAnsi="仿宋" w:eastAsia="仿宋_GB2312"/>
          <w:sz w:val="32"/>
          <w:szCs w:val="32"/>
        </w:rPr>
        <w:t>”青少年校外教育资源空间布局。</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推进高等教育园区建设。</w:t>
      </w:r>
      <w:r>
        <w:rPr>
          <w:rFonts w:hint="eastAsia" w:ascii="仿宋_GB2312" w:hAnsi="仿宋" w:eastAsia="仿宋_GB2312"/>
          <w:sz w:val="32"/>
          <w:szCs w:val="32"/>
        </w:rPr>
        <w:t>支持上海外国语大学贤达学院二期工程建设和转设工作，扩大办学规模，提高质量效益。支持国内外著名高校联手落户陈家镇高教园区，建设符合上海打造一流城市需要、彰显崇明世界级生态岛特色、具有世界一流水平的国际学院，构建开放型、国际化的管理体系，建立健全具有中国特色上海特点的国际化办学运行机制，打造特色鲜明的高水平学科，开展高水平基础研究和应用研究，加快培养高端紧缺人才，提高科技创新策源能力，全面提升服务世界级生态岛建设的能力水平。</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崇明国际高教园区建设项目</w:t>
            </w:r>
          </w:p>
          <w:p>
            <w:pPr>
              <w:adjustRightInd w:val="0"/>
              <w:snapToGrid w:val="0"/>
              <w:spacing w:line="560" w:lineRule="exact"/>
              <w:ind w:firstLine="600" w:firstLineChars="200"/>
              <w:rPr>
                <w:rFonts w:ascii="仿宋_GB2312" w:hAnsi="仿宋" w:eastAsia="仿宋_GB2312"/>
                <w:b/>
                <w:sz w:val="32"/>
                <w:szCs w:val="32"/>
              </w:rPr>
            </w:pPr>
            <w:r>
              <w:rPr>
                <w:rFonts w:hint="eastAsia" w:ascii="楷体_GB2312" w:hAnsi="华文楷体" w:eastAsia="楷体_GB2312"/>
                <w:sz w:val="30"/>
                <w:szCs w:val="30"/>
              </w:rPr>
              <w:t>在陈家镇高教园区内</w:t>
            </w:r>
            <w:r>
              <w:rPr>
                <w:rFonts w:ascii="楷体_GB2312" w:hAnsi="华文楷体" w:eastAsia="楷体_GB2312"/>
                <w:sz w:val="30"/>
                <w:szCs w:val="30"/>
              </w:rPr>
              <w:t>建设</w:t>
            </w:r>
            <w:r>
              <w:rPr>
                <w:rFonts w:hint="eastAsia" w:ascii="楷体_GB2312" w:hAnsi="华文楷体" w:eastAsia="楷体_GB2312"/>
                <w:sz w:val="30"/>
                <w:szCs w:val="30"/>
              </w:rPr>
              <w:t>贤达</w:t>
            </w:r>
            <w:r>
              <w:rPr>
                <w:rFonts w:ascii="楷体_GB2312" w:hAnsi="华文楷体" w:eastAsia="楷体_GB2312"/>
                <w:sz w:val="30"/>
                <w:szCs w:val="30"/>
              </w:rPr>
              <w:t>学院二期工程，学院占地达到</w:t>
            </w:r>
            <w:r>
              <w:rPr>
                <w:rFonts w:hint="eastAsia" w:ascii="楷体_GB2312" w:hAnsi="华文楷体" w:eastAsia="楷体_GB2312"/>
                <w:sz w:val="30"/>
                <w:szCs w:val="30"/>
              </w:rPr>
              <w:t>500亩</w:t>
            </w:r>
            <w:r>
              <w:rPr>
                <w:rFonts w:ascii="楷体_GB2312" w:hAnsi="华文楷体" w:eastAsia="楷体_GB2312"/>
                <w:sz w:val="30"/>
                <w:szCs w:val="30"/>
              </w:rPr>
              <w:t>。</w:t>
            </w:r>
            <w:r>
              <w:rPr>
                <w:rFonts w:hint="eastAsia" w:ascii="楷体_GB2312" w:hAnsi="华文楷体" w:eastAsia="楷体_GB2312"/>
                <w:sz w:val="30"/>
                <w:szCs w:val="30"/>
              </w:rPr>
              <w:t>支持</w:t>
            </w:r>
            <w:r>
              <w:rPr>
                <w:rFonts w:ascii="楷体_GB2312" w:hAnsi="华文楷体" w:eastAsia="楷体_GB2312"/>
                <w:sz w:val="30"/>
                <w:szCs w:val="30"/>
              </w:rPr>
              <w:t>国内外著名高校联手建设</w:t>
            </w:r>
            <w:r>
              <w:rPr>
                <w:rFonts w:hint="eastAsia" w:ascii="楷体_GB2312" w:hAnsi="华文楷体" w:eastAsia="楷体_GB2312"/>
                <w:sz w:val="30"/>
                <w:szCs w:val="30"/>
              </w:rPr>
              <w:t>国际农业与生态学院（暂</w:t>
            </w:r>
            <w:r>
              <w:rPr>
                <w:rFonts w:ascii="楷体_GB2312" w:hAnsi="华文楷体" w:eastAsia="楷体_GB2312"/>
                <w:sz w:val="30"/>
                <w:szCs w:val="30"/>
              </w:rPr>
              <w:t>名</w:t>
            </w:r>
            <w:r>
              <w:rPr>
                <w:rFonts w:hint="eastAsia" w:ascii="楷体_GB2312" w:hAnsi="华文楷体" w:eastAsia="楷体_GB2312"/>
                <w:sz w:val="30"/>
                <w:szCs w:val="30"/>
              </w:rPr>
              <w:t>），瞄准国家战略需求和区域经济社会发展需要，聚焦都市现代农业工程、智慧农业、城乡生态、食物与营养健康、动物科学与工程、乡村振兴管理工程、绿色生态科学与技术、风景园林等学科领域，着力构建世界一流的新学科和新兴交叉学科的学科群。学院一期占地面积350亩，2023年-</w:t>
            </w:r>
            <w:r>
              <w:rPr>
                <w:rFonts w:ascii="楷体_GB2312" w:hAnsi="华文楷体" w:eastAsia="楷体_GB2312"/>
                <w:sz w:val="30"/>
                <w:szCs w:val="30"/>
              </w:rPr>
              <w:t>2024</w:t>
            </w:r>
            <w:r>
              <w:rPr>
                <w:rFonts w:hint="eastAsia" w:ascii="楷体_GB2312" w:hAnsi="华文楷体" w:eastAsia="楷体_GB2312"/>
                <w:sz w:val="30"/>
                <w:szCs w:val="30"/>
              </w:rPr>
              <w:t>年建成启用，办学规模设定为全日制在校生4000人。同时积极推动其它</w:t>
            </w:r>
            <w:r>
              <w:rPr>
                <w:rFonts w:ascii="楷体_GB2312" w:hAnsi="华文楷体" w:eastAsia="楷体_GB2312"/>
                <w:sz w:val="30"/>
                <w:szCs w:val="30"/>
              </w:rPr>
              <w:t>高校</w:t>
            </w:r>
            <w:r>
              <w:rPr>
                <w:rFonts w:hint="eastAsia" w:ascii="楷体_GB2312" w:hAnsi="华文楷体" w:eastAsia="楷体_GB2312"/>
                <w:sz w:val="30"/>
                <w:szCs w:val="30"/>
              </w:rPr>
              <w:t>或独立</w:t>
            </w:r>
            <w:r>
              <w:rPr>
                <w:rFonts w:ascii="楷体_GB2312" w:hAnsi="华文楷体" w:eastAsia="楷体_GB2312"/>
                <w:sz w:val="30"/>
                <w:szCs w:val="30"/>
              </w:rPr>
              <w:t>二级</w:t>
            </w:r>
            <w:r>
              <w:rPr>
                <w:rFonts w:hint="eastAsia" w:ascii="楷体_GB2312" w:hAnsi="华文楷体" w:eastAsia="楷体_GB2312"/>
                <w:sz w:val="30"/>
                <w:szCs w:val="30"/>
              </w:rPr>
              <w:t>学院整体搬迁入园。</w:t>
            </w:r>
          </w:p>
        </w:tc>
      </w:tr>
    </w:tbl>
    <w:p>
      <w:pPr>
        <w:adjustRightInd w:val="0"/>
        <w:snapToGrid w:val="0"/>
        <w:spacing w:line="560" w:lineRule="exact"/>
        <w:ind w:firstLine="640" w:firstLineChars="200"/>
        <w:rPr>
          <w:rFonts w:ascii="楷体_GB2312" w:hAnsi="楷体" w:eastAsia="楷体_GB2312"/>
          <w:sz w:val="32"/>
          <w:szCs w:val="32"/>
        </w:rPr>
      </w:pPr>
      <w:r>
        <w:rPr>
          <w:rFonts w:hint="eastAsia" w:ascii="楷体_GB2312" w:hAnsi="楷体" w:eastAsia="楷体_GB2312"/>
          <w:sz w:val="32"/>
          <w:szCs w:val="32"/>
        </w:rPr>
        <w:t>（五）统筹</w:t>
      </w:r>
      <w:r>
        <w:rPr>
          <w:rFonts w:ascii="楷体_GB2312" w:hAnsi="楷体" w:eastAsia="楷体_GB2312"/>
          <w:sz w:val="32"/>
          <w:szCs w:val="32"/>
        </w:rPr>
        <w:t>各方资源，</w:t>
      </w:r>
      <w:r>
        <w:rPr>
          <w:rFonts w:hint="eastAsia" w:ascii="楷体_GB2312" w:hAnsi="楷体" w:eastAsia="楷体_GB2312"/>
          <w:sz w:val="32"/>
          <w:szCs w:val="32"/>
        </w:rPr>
        <w:t>优先发展教育，为教育</w:t>
      </w:r>
      <w:r>
        <w:rPr>
          <w:rFonts w:ascii="楷体_GB2312" w:hAnsi="楷体" w:eastAsia="楷体_GB2312"/>
          <w:sz w:val="32"/>
          <w:szCs w:val="32"/>
        </w:rPr>
        <w:t>改革发展</w:t>
      </w:r>
      <w:r>
        <w:rPr>
          <w:rFonts w:hint="eastAsia" w:ascii="楷体_GB2312" w:hAnsi="楷体" w:eastAsia="楷体_GB2312"/>
          <w:sz w:val="32"/>
          <w:szCs w:val="32"/>
        </w:rPr>
        <w:t>提供</w:t>
      </w:r>
      <w:r>
        <w:rPr>
          <w:rFonts w:ascii="楷体_GB2312" w:hAnsi="楷体" w:eastAsia="楷体_GB2312"/>
          <w:sz w:val="32"/>
          <w:szCs w:val="32"/>
        </w:rPr>
        <w:t>强大</w:t>
      </w:r>
      <w:r>
        <w:rPr>
          <w:rFonts w:hint="eastAsia" w:ascii="楷体_GB2312" w:hAnsi="楷体" w:eastAsia="楷体_GB2312"/>
          <w:sz w:val="32"/>
          <w:szCs w:val="32"/>
        </w:rPr>
        <w:t>保障</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坚持全面依法治校。</w:t>
      </w:r>
      <w:r>
        <w:rPr>
          <w:rFonts w:hint="eastAsia" w:ascii="仿宋_GB2312" w:hAnsi="仿宋" w:eastAsia="仿宋_GB2312"/>
          <w:sz w:val="32"/>
          <w:szCs w:val="32"/>
        </w:rPr>
        <w:t>深化教育领域简政放权“放管服”改革，完善教育行政部门权力清单和责任清单，简化办事流程，提高方便程度和办事效率。深化现代学校制度建设，优化学校法人治理结构，督促各级各类学校构建系统完备的学校规章制度体系，健全以学校章程为统领的学校内部治理制度，提高制度的科学性、时代性，切实提高制度执行力。完善教职工民主参与学校管理和民主监督等方面的工作机制，切实保障教职工合法权益。把维护校园安全作为一切工作的底线，建立健全现代学校公共安全综合治理体系，形成学校安全管理制度健全、安防力量配备到位、物防技防设施先进、师生安全素养较高、保障机制健全完善的防控格局。全面开展安全教育，完善学生意外伤害法律援助制度，构建预防和惩治“校园欺凌”等侵害学生利益的有效机制，全面提升未成年人保护水平。健全教育治理多元参与机制，完善集团理事会、校务委员会、家长委员会等制度，与社区加强深度互动、紧密协作，促进教育资源共建共享，形成家长、社区、用人单位、行业组织等共同参与的学校治理格局。</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提升教育经费保障水平。</w:t>
      </w:r>
      <w:r>
        <w:rPr>
          <w:rFonts w:hint="eastAsia" w:ascii="仿宋_GB2312" w:hAnsi="仿宋" w:eastAsia="仿宋_GB2312"/>
          <w:sz w:val="32"/>
          <w:szCs w:val="32"/>
        </w:rPr>
        <w:t>大力保障财政教育经费投入，建立以区级</w:t>
      </w:r>
      <w:r>
        <w:rPr>
          <w:rFonts w:ascii="仿宋_GB2312" w:hAnsi="仿宋" w:eastAsia="仿宋_GB2312"/>
          <w:sz w:val="32"/>
          <w:szCs w:val="32"/>
        </w:rPr>
        <w:t>财政</w:t>
      </w:r>
      <w:r>
        <w:rPr>
          <w:rFonts w:hint="eastAsia" w:ascii="仿宋_GB2312" w:hAnsi="仿宋" w:eastAsia="仿宋_GB2312"/>
          <w:sz w:val="32"/>
          <w:szCs w:val="32"/>
        </w:rPr>
        <w:t>为主，多渠道教育经费筹措</w:t>
      </w:r>
      <w:r>
        <w:rPr>
          <w:rFonts w:ascii="仿宋_GB2312" w:hAnsi="仿宋" w:eastAsia="仿宋_GB2312"/>
          <w:sz w:val="32"/>
          <w:szCs w:val="32"/>
        </w:rPr>
        <w:t>机制。</w:t>
      </w:r>
      <w:r>
        <w:rPr>
          <w:rFonts w:hint="eastAsia" w:ascii="仿宋_GB2312" w:hAnsi="仿宋" w:eastAsia="仿宋_GB2312"/>
          <w:sz w:val="32"/>
          <w:szCs w:val="32"/>
        </w:rPr>
        <w:t>使教育经费投入总量与教育事业发展需求相适应，确保落实“两个只增不减”，确保教师绩效工资收入水平与全市保持同步增长，确保必须的以内涵建设为核心的项目建设和学校基本建设与维修，逐步增加中小学幼儿园生均公用经费定额。建立健全各相关部门和乡镇协调联动的学校不动产确权补证“绿色通道”，切实解决学校不动产产权不清、权证不齐等问题而产生的相关经费。推动教育经费向关键环节和薄弱学段、薄弱学校倾斜，完善</w:t>
      </w:r>
      <w:r>
        <w:rPr>
          <w:rFonts w:ascii="仿宋_GB2312" w:hAnsi="仿宋" w:eastAsia="仿宋_GB2312"/>
          <w:sz w:val="32"/>
          <w:szCs w:val="32"/>
        </w:rPr>
        <w:t>集团化办学单位和小规模学校</w:t>
      </w:r>
      <w:r>
        <w:rPr>
          <w:rFonts w:hint="eastAsia" w:ascii="仿宋_GB2312" w:hAnsi="仿宋" w:eastAsia="仿宋_GB2312"/>
          <w:sz w:val="32"/>
          <w:szCs w:val="32"/>
        </w:rPr>
        <w:t>的生均</w:t>
      </w:r>
      <w:r>
        <w:rPr>
          <w:rFonts w:ascii="仿宋_GB2312" w:hAnsi="仿宋" w:eastAsia="仿宋_GB2312"/>
          <w:sz w:val="32"/>
          <w:szCs w:val="32"/>
        </w:rPr>
        <w:t>拨款办法</w:t>
      </w:r>
      <w:r>
        <w:rPr>
          <w:rFonts w:hint="eastAsia" w:ascii="仿宋_GB2312" w:hAnsi="仿宋" w:eastAsia="仿宋_GB2312"/>
          <w:sz w:val="32"/>
          <w:szCs w:val="32"/>
        </w:rPr>
        <w:t>。强化教育经费使用监管，加强学校</w:t>
      </w:r>
      <w:r>
        <w:rPr>
          <w:rFonts w:ascii="仿宋_GB2312" w:hAnsi="仿宋" w:eastAsia="仿宋_GB2312"/>
          <w:sz w:val="32"/>
          <w:szCs w:val="32"/>
        </w:rPr>
        <w:t>内部审计，</w:t>
      </w:r>
      <w:r>
        <w:rPr>
          <w:rFonts w:hint="eastAsia" w:ascii="仿宋_GB2312" w:hAnsi="仿宋" w:eastAsia="仿宋_GB2312"/>
          <w:sz w:val="32"/>
          <w:szCs w:val="32"/>
        </w:rPr>
        <w:t>加强经费</w:t>
      </w:r>
      <w:r>
        <w:rPr>
          <w:rFonts w:ascii="仿宋_GB2312" w:hAnsi="仿宋" w:eastAsia="仿宋_GB2312"/>
          <w:sz w:val="32"/>
          <w:szCs w:val="32"/>
        </w:rPr>
        <w:t>绩效评价</w:t>
      </w:r>
      <w:r>
        <w:rPr>
          <w:rFonts w:hint="eastAsia" w:ascii="仿宋_GB2312" w:hAnsi="仿宋" w:eastAsia="仿宋_GB2312"/>
          <w:sz w:val="32"/>
          <w:szCs w:val="32"/>
        </w:rPr>
        <w:t>，坚决防止违纪违规和大手大脚、铺张浪费。</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深化教育督导体制机制改革。</w:t>
      </w:r>
      <w:r>
        <w:rPr>
          <w:rFonts w:hint="eastAsia" w:ascii="仿宋_GB2312" w:hAnsi="仿宋" w:eastAsia="仿宋_GB2312"/>
          <w:sz w:val="32"/>
          <w:szCs w:val="32"/>
        </w:rPr>
        <w:t>依法落实区教育督导机构设置和力量配置，充实区政府教育督导委员会成员单位，区政府教育督导委员会办公室和教育督导室合署办公，区教育局设立总督学和副总督学，建立总督学向区教育督导委员会直接负责工作</w:t>
      </w:r>
      <w:r>
        <w:rPr>
          <w:rFonts w:ascii="仿宋_GB2312" w:hAnsi="仿宋" w:eastAsia="仿宋_GB2312"/>
          <w:sz w:val="32"/>
          <w:szCs w:val="32"/>
        </w:rPr>
        <w:t>机制</w:t>
      </w:r>
      <w:r>
        <w:rPr>
          <w:rFonts w:hint="eastAsia" w:ascii="仿宋_GB2312" w:hAnsi="仿宋" w:eastAsia="仿宋_GB2312"/>
          <w:sz w:val="32"/>
          <w:szCs w:val="32"/>
        </w:rPr>
        <w:t>。依法全面落实教育督导三大法定职能，健全对区政府相关职能部门履行教育职责述职制度，完善对乡镇政府履行教育职责的综合督政制度，建立区域教育发展状况和各级各类学校教育质量常态化评估监测制度，常态化开展以学校自评为基础、自评和他评相结合的办学水平综合督导，进一步优化责任区挂牌督导工作机制。依法公开督政、督学和评估监测结果，强化结果应用，建立督导约谈和问责机制。加强督导队伍建设，提升督导队伍专业性和权威性。</w:t>
      </w:r>
    </w:p>
    <w:p>
      <w:pPr>
        <w:adjustRightInd w:val="0"/>
        <w:snapToGrid w:val="0"/>
        <w:spacing w:line="560" w:lineRule="exact"/>
        <w:ind w:firstLine="600"/>
        <w:rPr>
          <w:rFonts w:ascii="仿宋_GB2312" w:hAnsi="仿宋" w:eastAsia="仿宋_GB2312"/>
          <w:sz w:val="32"/>
          <w:szCs w:val="32"/>
        </w:rPr>
      </w:pPr>
      <w:r>
        <w:rPr>
          <w:rFonts w:hint="eastAsia" w:ascii="仿宋_GB2312" w:hAnsi="仿宋" w:eastAsia="仿宋_GB2312"/>
          <w:b/>
          <w:sz w:val="32"/>
          <w:szCs w:val="32"/>
        </w:rPr>
        <w:t>深入推进新技术赋能教育。</w:t>
      </w:r>
      <w:r>
        <w:rPr>
          <w:rFonts w:hint="eastAsia" w:ascii="仿宋_GB2312" w:hAnsi="仿宋" w:eastAsia="仿宋_GB2312"/>
          <w:sz w:val="32"/>
          <w:szCs w:val="32"/>
        </w:rPr>
        <w:t>提升教师信息化素养，开展面向全体教师的“智慧教育”应用能力培训，推进人工智能环境下的教师人技协作支撑体系建设和课堂教学变革。以点带面，培育若干所市、区两级教育信息化应用标杆校。全面融入“一网通办”“一网统管”管理体系，为基层学校和人民群众提供更加便捷的相关服务。加盟全市学校信息化基础应用平台，推进崇明教育综合服务平台建设。统一数据管理，建立区域教育数据编码标准、交换接口规范，建设统一的教育行业数据资源目录并持续更新。推动数据安全共享，建设覆盖区域的教育数据共享交换平台，对接市级数据中心，连通各个基层学校，形成数据存储、交换、共享、使用、开放的枢纽。支持业务分析决策，构建教育数据分析系统，应用数据挖掘、大数据分析等技术实现教育数据的分析利用，支持管理决策和教育治理，促进教育管理业务重组和流程优化。</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Pr>
          <w:p>
            <w:pPr>
              <w:adjustRightInd w:val="0"/>
              <w:snapToGrid w:val="0"/>
              <w:spacing w:line="560" w:lineRule="exact"/>
              <w:jc w:val="center"/>
              <w:rPr>
                <w:rFonts w:ascii="楷体_GB2312" w:hAnsi="华文楷体" w:eastAsia="楷体_GB2312"/>
                <w:b/>
                <w:sz w:val="30"/>
                <w:szCs w:val="30"/>
              </w:rPr>
            </w:pPr>
            <w:r>
              <w:rPr>
                <w:rFonts w:hint="eastAsia" w:ascii="楷体_GB2312" w:hAnsi="华文楷体" w:eastAsia="楷体_GB2312"/>
                <w:b/>
                <w:sz w:val="30"/>
                <w:szCs w:val="30"/>
              </w:rPr>
              <w:t>现代化教育技术装备提升项目</w:t>
            </w:r>
          </w:p>
          <w:p>
            <w:pPr>
              <w:adjustRightInd w:val="0"/>
              <w:snapToGrid w:val="0"/>
              <w:spacing w:line="560" w:lineRule="exact"/>
              <w:ind w:firstLine="600" w:firstLineChars="200"/>
              <w:rPr>
                <w:rFonts w:ascii="仿宋_GB2312" w:hAnsi="仿宋" w:eastAsia="仿宋_GB2312"/>
                <w:sz w:val="30"/>
                <w:szCs w:val="30"/>
              </w:rPr>
            </w:pPr>
            <w:r>
              <w:rPr>
                <w:rFonts w:hint="eastAsia" w:ascii="楷体_GB2312" w:hAnsi="华文楷体" w:eastAsia="楷体_GB2312"/>
                <w:sz w:val="30"/>
                <w:szCs w:val="30"/>
              </w:rPr>
              <w:t xml:space="preserve">分期分批更新教师办公电脑、中小学计算机教室（与中小学英语听力教室共用）、中小学教室一体机等。根据中考、高考改革新要求，升级改造理、化实验室和创新实验室。按照标准完善中小学图书馆和音乐、美术、劳技教室的配置，每个中小学新建或改建1个小型剧场。按照上海市地方标准DB31/T539-2020《中小学幼儿园教室照明设计规范》，完成全部中小学普通教室和专用教室护眼灯光的改造，实现教室灯光全面达标。开展智慧校园建设，每所学校建设若干个教师智慧工作室、智慧教室和共享学习空间。集中建设区级在线教育资源系统平台，推动课程教学数字化教学资源的积累，实现全区教学资源共建共享，并与市级在线教育应用平台贯通。利用5G、大数据、物联网等技术的教学与行政管理决策服务系统，实现教学多维度分析评价、学生多元化发展评价精准化、精细化，以及教育行政管理服务的“两张网”建设。 </w:t>
            </w:r>
          </w:p>
        </w:tc>
      </w:tr>
    </w:tbl>
    <w:p>
      <w:p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五、加强领导和组织实施</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健全党对教育工作全面领导的体制机制。</w:t>
      </w:r>
      <w:r>
        <w:rPr>
          <w:rFonts w:hint="eastAsia" w:ascii="仿宋_GB2312" w:hAnsi="仿宋" w:eastAsia="仿宋_GB2312"/>
          <w:sz w:val="32"/>
          <w:szCs w:val="32"/>
        </w:rPr>
        <w:t>建立健全区委统一领导、党政齐抓共管、部门各负其责的教育领导体制，履行好把方向、管大局、作决策、保落实的职责。完善区委教育工作领导小组的议事决策机制。教育党工委切实发挥教育系统党的领导核心作用，建立健全领导教育事业发展的组织体系、制度体系、工作机制。加强中小学校</w:t>
      </w:r>
      <w:r>
        <w:rPr>
          <w:rFonts w:ascii="仿宋_GB2312" w:hAnsi="仿宋" w:eastAsia="仿宋_GB2312"/>
          <w:sz w:val="32"/>
          <w:szCs w:val="32"/>
        </w:rPr>
        <w:t>和幼儿园</w:t>
      </w:r>
      <w:r>
        <w:rPr>
          <w:rFonts w:hint="eastAsia" w:ascii="仿宋_GB2312" w:hAnsi="仿宋" w:eastAsia="仿宋_GB2312"/>
          <w:sz w:val="32"/>
          <w:szCs w:val="32"/>
        </w:rPr>
        <w:t>基层党的建设工作，实行</w:t>
      </w:r>
      <w:r>
        <w:rPr>
          <w:rFonts w:ascii="仿宋_GB2312" w:hAnsi="仿宋" w:eastAsia="仿宋_GB2312"/>
          <w:sz w:val="32"/>
          <w:szCs w:val="32"/>
        </w:rPr>
        <w:t>党组织领导的校园长负责制，</w:t>
      </w:r>
      <w:r>
        <w:rPr>
          <w:rFonts w:hint="eastAsia" w:ascii="仿宋_GB2312" w:hAnsi="仿宋" w:eastAsia="仿宋_GB2312"/>
          <w:sz w:val="32"/>
          <w:szCs w:val="32"/>
        </w:rPr>
        <w:t>确保社会主义办学方向。完善“三重一大”创建</w:t>
      </w:r>
      <w:r>
        <w:rPr>
          <w:rFonts w:ascii="仿宋_GB2312" w:hAnsi="仿宋" w:eastAsia="仿宋_GB2312"/>
          <w:sz w:val="32"/>
          <w:szCs w:val="32"/>
        </w:rPr>
        <w:t>和议事决策机制。</w:t>
      </w:r>
      <w:r>
        <w:rPr>
          <w:rFonts w:hint="eastAsia" w:ascii="仿宋_GB2312" w:hAnsi="仿宋" w:eastAsia="仿宋_GB2312"/>
          <w:sz w:val="32"/>
          <w:szCs w:val="32"/>
        </w:rPr>
        <w:t>区委区政府和乡镇党委政府完善定期研究教育工作的机制，建立健全党政主要领导同志深入教育一线调研、为师生上思政课、联系基层学校和年终述职必述教育工作等制度。落实教育事业优先发展战略，把教育发展纳入区和乡镇经济社会发展规划，财政资金优先保障教育投入。各相关职能部门把教育改革发展纳入工作计划，研究解决教育改革发展中的新情况新问题，各乡镇政府切实履行教育职能。全面完善体教结合、医教结合、文教结合制度，确保人员、资金、工作机制落实到位</w:t>
      </w:r>
    </w:p>
    <w:p>
      <w:pPr>
        <w:adjustRightInd w:val="0"/>
        <w:snapToGrid w:val="0"/>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建设忠诚干净担当的教育系统干部队伍。</w:t>
      </w:r>
      <w:r>
        <w:rPr>
          <w:rFonts w:hint="eastAsia" w:ascii="仿宋_GB2312" w:hAnsi="仿宋" w:eastAsia="仿宋_GB2312"/>
          <w:sz w:val="32"/>
          <w:szCs w:val="32"/>
        </w:rPr>
        <w:t>坚持党管干部原则，突出政治标准，牢固树立正确选人用人导向，拓宽选人用人视野，注重选拔政治过硬、历练扎实、表现突出的优秀年轻干部，建设一支忠诚干净担当、高水平专业化的教育系统领导干部队伍。提高基层学校党建工作质量，不断强化基层党组织的政治功能，切实发挥战斗堡垒作用。引导教育系统广大党员发挥先锋模范作用，不忘立德树人初心，牢记为党育人、为国育才使命，当好先锋，做出表率，作出贡献。</w:t>
      </w:r>
    </w:p>
    <w:p>
      <w:pPr>
        <w:adjustRightInd w:val="0"/>
        <w:snapToGrid w:val="0"/>
        <w:spacing w:line="560" w:lineRule="exact"/>
        <w:ind w:firstLine="643" w:firstLineChars="200"/>
        <w:rPr>
          <w:rFonts w:ascii="仿宋_GB2312" w:hAnsi="仿宋" w:eastAsia="仿宋_GB2312"/>
          <w:sz w:val="32"/>
          <w:szCs w:val="32"/>
        </w:rPr>
      </w:pPr>
      <w:r>
        <w:rPr>
          <w:rFonts w:hint="eastAsia" w:ascii="仿宋" w:hAnsi="仿宋" w:eastAsia="仿宋"/>
          <w:b/>
          <w:sz w:val="32"/>
          <w:szCs w:val="32"/>
        </w:rPr>
        <w:t>健全规划实施和监督评估机制。</w:t>
      </w:r>
      <w:r>
        <w:rPr>
          <w:rFonts w:hint="eastAsia" w:ascii="仿宋" w:hAnsi="仿宋" w:eastAsia="仿宋"/>
          <w:sz w:val="32"/>
          <w:szCs w:val="32"/>
        </w:rPr>
        <w:t>建立规划实施机制，</w:t>
      </w:r>
      <w:r>
        <w:rPr>
          <w:rFonts w:hint="eastAsia" w:ascii="仿宋_GB2312" w:hAnsi="仿宋" w:eastAsia="仿宋_GB2312"/>
          <w:sz w:val="32"/>
          <w:szCs w:val="32"/>
        </w:rPr>
        <w:t>区、乡镇两级政府、教育部门和相关职能部门结合年度工作，制定年度工作计划和实施方案，把本规划确定的各项目标任务落细落小落到实处。建立规划年度总结、中期评估和终期总结制度，对本规划实施情况作持续跟踪监测和考核评价，每年总结进展、分析问题、提出下一步改建措施。完善督查问责机制，将本规划推进情况纳入部门和乡镇绩效考核内容，主动向同级人大报告规划执行情况，接受人大监督和民主监督。建立容错纠错机制，保护改革者的热情，把改革探索中无意过错与明知故犯区分开来。</w:t>
      </w:r>
    </w:p>
    <w:p>
      <w:pPr>
        <w:adjustRightInd w:val="0"/>
        <w:snapToGrid w:val="0"/>
        <w:spacing w:line="560" w:lineRule="exact"/>
        <w:ind w:firstLine="640" w:firstLineChars="200"/>
        <w:rPr>
          <w:rFonts w:ascii="仿宋_GB2312" w:hAnsi="仿宋" w:eastAsia="仿宋_GB2312"/>
          <w:sz w:val="32"/>
          <w:szCs w:val="32"/>
        </w:rPr>
      </w:pPr>
    </w:p>
    <w:p>
      <w:pPr>
        <w:adjustRightInd w:val="0"/>
        <w:snapToGrid w:val="0"/>
        <w:spacing w:line="560" w:lineRule="exact"/>
        <w:ind w:firstLine="640" w:firstLineChars="200"/>
        <w:rPr>
          <w:rFonts w:ascii="仿宋_GB2312" w:hAnsi="仿宋" w:eastAsia="仿宋_GB2312"/>
          <w:sz w:val="32"/>
          <w:szCs w:val="32"/>
        </w:rPr>
      </w:pPr>
    </w:p>
    <w:p>
      <w:pPr>
        <w:spacing w:line="600" w:lineRule="exact"/>
        <w:jc w:val="center"/>
        <w:rPr>
          <w:rFonts w:ascii="黑体" w:eastAsia="黑体"/>
          <w:sz w:val="32"/>
          <w:szCs w:val="32"/>
        </w:rPr>
      </w:pPr>
      <w:r>
        <w:rPr>
          <w:rFonts w:hint="eastAsia" w:ascii="黑体" w:eastAsia="黑体"/>
          <w:sz w:val="32"/>
          <w:szCs w:val="32"/>
        </w:rPr>
        <w:t>《崇明区教育改革和发展“十四五”规划（草案）》</w:t>
      </w:r>
    </w:p>
    <w:p>
      <w:pPr>
        <w:spacing w:line="600" w:lineRule="exact"/>
        <w:jc w:val="center"/>
        <w:rPr>
          <w:rFonts w:hint="eastAsia" w:ascii="黑体" w:eastAsia="黑体"/>
          <w:sz w:val="32"/>
          <w:szCs w:val="32"/>
        </w:rPr>
      </w:pPr>
      <w:r>
        <w:rPr>
          <w:rFonts w:hint="eastAsia" w:ascii="黑体" w:eastAsia="黑体"/>
          <w:sz w:val="32"/>
          <w:szCs w:val="32"/>
        </w:rPr>
        <w:t>编制依据</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1.全国和市、区教育大会和全国、市基础教育工作会议精神；</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2.《上海教育现代化2035》；</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3.《上海市教育改革和发展“十四五”规划》；</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4.《上海市职业教育高质量发展行动计划（2019-2022年）》；</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5.《关于全面深化新时代教师队伍建设改革的实施意见》；</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6.《中共上海市委、市人民政府关于深化本市教育督导体制机制改革的实施意见》；</w:t>
      </w:r>
    </w:p>
    <w:p>
      <w:pPr>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7.《中共中央国务院关于深化教育评价改革的总体方案》。</w:t>
      </w:r>
    </w:p>
    <w:p>
      <w:pPr>
        <w:rPr>
          <w:rFonts w:hint="eastAsia" w:ascii="Times New Roman" w:hAnsi="Times New Roman"/>
          <w:szCs w:val="24"/>
        </w:rPr>
      </w:pPr>
    </w:p>
    <w:p>
      <w:pPr>
        <w:adjustRightInd w:val="0"/>
        <w:snapToGrid w:val="0"/>
        <w:spacing w:line="560" w:lineRule="exact"/>
        <w:ind w:firstLine="640" w:firstLineChars="200"/>
        <w:rPr>
          <w:rFonts w:ascii="仿宋_GB2312" w:hAnsi="仿宋" w:eastAsia="仿宋_GB2312"/>
          <w:sz w:val="32"/>
          <w:szCs w:val="32"/>
        </w:rPr>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华文楷体">
    <w:altName w:val="宋体"/>
    <w:panose1 w:val="00000000000000000000"/>
    <w:charset w:val="86"/>
    <w:family w:val="auto"/>
    <w:pitch w:val="default"/>
    <w:sig w:usb0="00000000" w:usb1="00000000" w:usb2="00000010" w:usb3="00000000" w:csb0="0004009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29</w:t>
    </w:r>
    <w:r>
      <w:rPr>
        <w:lang w:val="zh-CN"/>
      </w:rP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1"/>
  <w:bordersDoNotSurroundFooter w:val="1"/>
  <w:hideSpellingErrors/>
  <w:hideGrammaticalErrors/>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10C"/>
    <w:rsid w:val="0000068E"/>
    <w:rsid w:val="00000A72"/>
    <w:rsid w:val="00001ED2"/>
    <w:rsid w:val="00017AFD"/>
    <w:rsid w:val="00023BAC"/>
    <w:rsid w:val="00023EF7"/>
    <w:rsid w:val="000247C0"/>
    <w:rsid w:val="00025808"/>
    <w:rsid w:val="0003106D"/>
    <w:rsid w:val="00031CB0"/>
    <w:rsid w:val="00035AC0"/>
    <w:rsid w:val="00044134"/>
    <w:rsid w:val="00050C77"/>
    <w:rsid w:val="0005305B"/>
    <w:rsid w:val="00055444"/>
    <w:rsid w:val="00064F20"/>
    <w:rsid w:val="00065941"/>
    <w:rsid w:val="00065C59"/>
    <w:rsid w:val="00073579"/>
    <w:rsid w:val="0007463D"/>
    <w:rsid w:val="000758FC"/>
    <w:rsid w:val="00082585"/>
    <w:rsid w:val="0008610C"/>
    <w:rsid w:val="000866A3"/>
    <w:rsid w:val="00090484"/>
    <w:rsid w:val="000A00AF"/>
    <w:rsid w:val="000A13E4"/>
    <w:rsid w:val="000A36A3"/>
    <w:rsid w:val="000A3948"/>
    <w:rsid w:val="000A5CE9"/>
    <w:rsid w:val="000A7642"/>
    <w:rsid w:val="000B073E"/>
    <w:rsid w:val="000B5981"/>
    <w:rsid w:val="000B6874"/>
    <w:rsid w:val="000C4482"/>
    <w:rsid w:val="000C587F"/>
    <w:rsid w:val="000E06A3"/>
    <w:rsid w:val="000E1022"/>
    <w:rsid w:val="000E1231"/>
    <w:rsid w:val="000E32AE"/>
    <w:rsid w:val="000E62E1"/>
    <w:rsid w:val="000E6B85"/>
    <w:rsid w:val="000E7EE3"/>
    <w:rsid w:val="000F1D2A"/>
    <w:rsid w:val="000F30E1"/>
    <w:rsid w:val="000F4C6E"/>
    <w:rsid w:val="00101F15"/>
    <w:rsid w:val="00103912"/>
    <w:rsid w:val="00122BC4"/>
    <w:rsid w:val="0012370B"/>
    <w:rsid w:val="0012449E"/>
    <w:rsid w:val="00125B25"/>
    <w:rsid w:val="0013100E"/>
    <w:rsid w:val="0013555A"/>
    <w:rsid w:val="001360DA"/>
    <w:rsid w:val="001371AE"/>
    <w:rsid w:val="001428CD"/>
    <w:rsid w:val="00143ECC"/>
    <w:rsid w:val="00145383"/>
    <w:rsid w:val="00153512"/>
    <w:rsid w:val="00154AE1"/>
    <w:rsid w:val="00156E51"/>
    <w:rsid w:val="00156E73"/>
    <w:rsid w:val="00161411"/>
    <w:rsid w:val="00166410"/>
    <w:rsid w:val="001666FB"/>
    <w:rsid w:val="00170B04"/>
    <w:rsid w:val="00172F76"/>
    <w:rsid w:val="00173D3E"/>
    <w:rsid w:val="001760C1"/>
    <w:rsid w:val="001771C3"/>
    <w:rsid w:val="00183DED"/>
    <w:rsid w:val="00185732"/>
    <w:rsid w:val="00186729"/>
    <w:rsid w:val="00187D86"/>
    <w:rsid w:val="001913C7"/>
    <w:rsid w:val="00191CF1"/>
    <w:rsid w:val="001A29B1"/>
    <w:rsid w:val="001A3D82"/>
    <w:rsid w:val="001A57D3"/>
    <w:rsid w:val="001A6E3D"/>
    <w:rsid w:val="001A79A0"/>
    <w:rsid w:val="001B028E"/>
    <w:rsid w:val="001B4A92"/>
    <w:rsid w:val="001B649C"/>
    <w:rsid w:val="001C137C"/>
    <w:rsid w:val="001C26B9"/>
    <w:rsid w:val="001C7BC7"/>
    <w:rsid w:val="001D15CD"/>
    <w:rsid w:val="001D1ECA"/>
    <w:rsid w:val="001D30B0"/>
    <w:rsid w:val="001E4FA3"/>
    <w:rsid w:val="001E62AD"/>
    <w:rsid w:val="001F3D84"/>
    <w:rsid w:val="00202147"/>
    <w:rsid w:val="00205EEF"/>
    <w:rsid w:val="00206C99"/>
    <w:rsid w:val="002107AC"/>
    <w:rsid w:val="002110A3"/>
    <w:rsid w:val="002124B4"/>
    <w:rsid w:val="00215191"/>
    <w:rsid w:val="00215B4C"/>
    <w:rsid w:val="002166C1"/>
    <w:rsid w:val="0021753D"/>
    <w:rsid w:val="00221228"/>
    <w:rsid w:val="002226FB"/>
    <w:rsid w:val="00224A37"/>
    <w:rsid w:val="00224C19"/>
    <w:rsid w:val="00225DB7"/>
    <w:rsid w:val="00226E7B"/>
    <w:rsid w:val="00232150"/>
    <w:rsid w:val="00237640"/>
    <w:rsid w:val="00241646"/>
    <w:rsid w:val="00241B7F"/>
    <w:rsid w:val="00241E7D"/>
    <w:rsid w:val="002443C9"/>
    <w:rsid w:val="00245458"/>
    <w:rsid w:val="00267B96"/>
    <w:rsid w:val="0027036E"/>
    <w:rsid w:val="002737CB"/>
    <w:rsid w:val="00281B46"/>
    <w:rsid w:val="002930DB"/>
    <w:rsid w:val="00297547"/>
    <w:rsid w:val="002A0146"/>
    <w:rsid w:val="002A6C7D"/>
    <w:rsid w:val="002B3A61"/>
    <w:rsid w:val="002B6D4A"/>
    <w:rsid w:val="002C0030"/>
    <w:rsid w:val="002C10BB"/>
    <w:rsid w:val="002C2001"/>
    <w:rsid w:val="002C2C39"/>
    <w:rsid w:val="002D1BE1"/>
    <w:rsid w:val="002D52BC"/>
    <w:rsid w:val="002D625E"/>
    <w:rsid w:val="002D7EBE"/>
    <w:rsid w:val="002E4296"/>
    <w:rsid w:val="002E522A"/>
    <w:rsid w:val="002E52B8"/>
    <w:rsid w:val="002E6657"/>
    <w:rsid w:val="002E6914"/>
    <w:rsid w:val="002F1F1B"/>
    <w:rsid w:val="002F25D6"/>
    <w:rsid w:val="00300D8B"/>
    <w:rsid w:val="00303AFE"/>
    <w:rsid w:val="0030775B"/>
    <w:rsid w:val="00307F03"/>
    <w:rsid w:val="0031514F"/>
    <w:rsid w:val="003212C0"/>
    <w:rsid w:val="00323C25"/>
    <w:rsid w:val="0032491F"/>
    <w:rsid w:val="00325D07"/>
    <w:rsid w:val="00327370"/>
    <w:rsid w:val="00333651"/>
    <w:rsid w:val="003365C9"/>
    <w:rsid w:val="00336ECA"/>
    <w:rsid w:val="00337531"/>
    <w:rsid w:val="003417C2"/>
    <w:rsid w:val="00342C4E"/>
    <w:rsid w:val="003439F4"/>
    <w:rsid w:val="003457A0"/>
    <w:rsid w:val="003472B4"/>
    <w:rsid w:val="003520D8"/>
    <w:rsid w:val="00354FC6"/>
    <w:rsid w:val="00355BE8"/>
    <w:rsid w:val="00360E32"/>
    <w:rsid w:val="00363165"/>
    <w:rsid w:val="00364585"/>
    <w:rsid w:val="00365547"/>
    <w:rsid w:val="00365DE8"/>
    <w:rsid w:val="00370CBC"/>
    <w:rsid w:val="00372ED8"/>
    <w:rsid w:val="00382C6C"/>
    <w:rsid w:val="00384F77"/>
    <w:rsid w:val="00385F5C"/>
    <w:rsid w:val="003872ED"/>
    <w:rsid w:val="00390628"/>
    <w:rsid w:val="00391BFB"/>
    <w:rsid w:val="0039549F"/>
    <w:rsid w:val="003A1FEE"/>
    <w:rsid w:val="003A5C49"/>
    <w:rsid w:val="003B0D33"/>
    <w:rsid w:val="003B1549"/>
    <w:rsid w:val="003B40F9"/>
    <w:rsid w:val="003B7220"/>
    <w:rsid w:val="003D7BB4"/>
    <w:rsid w:val="003E5389"/>
    <w:rsid w:val="003E76C7"/>
    <w:rsid w:val="003F0DEE"/>
    <w:rsid w:val="003F7D65"/>
    <w:rsid w:val="00401679"/>
    <w:rsid w:val="0040221F"/>
    <w:rsid w:val="00406C4F"/>
    <w:rsid w:val="00410727"/>
    <w:rsid w:val="004131AD"/>
    <w:rsid w:val="00413778"/>
    <w:rsid w:val="004147F0"/>
    <w:rsid w:val="00423B38"/>
    <w:rsid w:val="00426FBE"/>
    <w:rsid w:val="00440776"/>
    <w:rsid w:val="00440C33"/>
    <w:rsid w:val="00442547"/>
    <w:rsid w:val="00442570"/>
    <w:rsid w:val="004457EE"/>
    <w:rsid w:val="004460B2"/>
    <w:rsid w:val="00453ECF"/>
    <w:rsid w:val="00456B69"/>
    <w:rsid w:val="00457EB1"/>
    <w:rsid w:val="00466B70"/>
    <w:rsid w:val="00466CC0"/>
    <w:rsid w:val="004670FD"/>
    <w:rsid w:val="00467A2A"/>
    <w:rsid w:val="0047256B"/>
    <w:rsid w:val="00490C6B"/>
    <w:rsid w:val="00490E45"/>
    <w:rsid w:val="0049623A"/>
    <w:rsid w:val="004A2B08"/>
    <w:rsid w:val="004B40A4"/>
    <w:rsid w:val="004B6B8E"/>
    <w:rsid w:val="004C118F"/>
    <w:rsid w:val="004C310C"/>
    <w:rsid w:val="004C50D9"/>
    <w:rsid w:val="004C74F0"/>
    <w:rsid w:val="004D0793"/>
    <w:rsid w:val="004D28B7"/>
    <w:rsid w:val="004D6299"/>
    <w:rsid w:val="004D659F"/>
    <w:rsid w:val="004E31A8"/>
    <w:rsid w:val="004E362A"/>
    <w:rsid w:val="004E6177"/>
    <w:rsid w:val="004F1D8A"/>
    <w:rsid w:val="004F291D"/>
    <w:rsid w:val="004F4777"/>
    <w:rsid w:val="004F7368"/>
    <w:rsid w:val="00500ACB"/>
    <w:rsid w:val="00500EE3"/>
    <w:rsid w:val="0050504C"/>
    <w:rsid w:val="005064A5"/>
    <w:rsid w:val="00507E39"/>
    <w:rsid w:val="0051144D"/>
    <w:rsid w:val="0051632F"/>
    <w:rsid w:val="00526AC6"/>
    <w:rsid w:val="00526ADA"/>
    <w:rsid w:val="00530784"/>
    <w:rsid w:val="00535925"/>
    <w:rsid w:val="00541D0F"/>
    <w:rsid w:val="00541E46"/>
    <w:rsid w:val="00541E98"/>
    <w:rsid w:val="00546A1C"/>
    <w:rsid w:val="005516B5"/>
    <w:rsid w:val="00551C1F"/>
    <w:rsid w:val="0055287E"/>
    <w:rsid w:val="00552F11"/>
    <w:rsid w:val="00553747"/>
    <w:rsid w:val="00555339"/>
    <w:rsid w:val="00555DFD"/>
    <w:rsid w:val="00557055"/>
    <w:rsid w:val="005614E9"/>
    <w:rsid w:val="0056735F"/>
    <w:rsid w:val="00567D3C"/>
    <w:rsid w:val="005703EA"/>
    <w:rsid w:val="005703EB"/>
    <w:rsid w:val="00570F71"/>
    <w:rsid w:val="00571D23"/>
    <w:rsid w:val="005765BD"/>
    <w:rsid w:val="005811F2"/>
    <w:rsid w:val="00584910"/>
    <w:rsid w:val="0058517B"/>
    <w:rsid w:val="005854C7"/>
    <w:rsid w:val="00595EEE"/>
    <w:rsid w:val="005A08B6"/>
    <w:rsid w:val="005A096B"/>
    <w:rsid w:val="005A47C5"/>
    <w:rsid w:val="005B2D70"/>
    <w:rsid w:val="005C28D6"/>
    <w:rsid w:val="005C3CEB"/>
    <w:rsid w:val="005D0FAC"/>
    <w:rsid w:val="005E161D"/>
    <w:rsid w:val="005E564A"/>
    <w:rsid w:val="005E578A"/>
    <w:rsid w:val="005F2134"/>
    <w:rsid w:val="005F74EB"/>
    <w:rsid w:val="00605455"/>
    <w:rsid w:val="00605B79"/>
    <w:rsid w:val="00606CE1"/>
    <w:rsid w:val="00612337"/>
    <w:rsid w:val="00625F1A"/>
    <w:rsid w:val="00634304"/>
    <w:rsid w:val="00636F7F"/>
    <w:rsid w:val="00637B90"/>
    <w:rsid w:val="00641303"/>
    <w:rsid w:val="00642806"/>
    <w:rsid w:val="00644DF2"/>
    <w:rsid w:val="00651F22"/>
    <w:rsid w:val="006534A8"/>
    <w:rsid w:val="00653DE9"/>
    <w:rsid w:val="0066171B"/>
    <w:rsid w:val="00673B82"/>
    <w:rsid w:val="00676130"/>
    <w:rsid w:val="006772E4"/>
    <w:rsid w:val="00680CEA"/>
    <w:rsid w:val="00680DF9"/>
    <w:rsid w:val="00683946"/>
    <w:rsid w:val="006916EF"/>
    <w:rsid w:val="00691D25"/>
    <w:rsid w:val="006974C6"/>
    <w:rsid w:val="006A314C"/>
    <w:rsid w:val="006B5350"/>
    <w:rsid w:val="006C06C1"/>
    <w:rsid w:val="006C0A0E"/>
    <w:rsid w:val="006C7A78"/>
    <w:rsid w:val="006E133E"/>
    <w:rsid w:val="006E1679"/>
    <w:rsid w:val="006E7EB1"/>
    <w:rsid w:val="006F1B61"/>
    <w:rsid w:val="006F35B6"/>
    <w:rsid w:val="006F45CA"/>
    <w:rsid w:val="007046DF"/>
    <w:rsid w:val="0071638B"/>
    <w:rsid w:val="00721937"/>
    <w:rsid w:val="00724249"/>
    <w:rsid w:val="00733943"/>
    <w:rsid w:val="00733AC9"/>
    <w:rsid w:val="00743AB5"/>
    <w:rsid w:val="0074542A"/>
    <w:rsid w:val="00745896"/>
    <w:rsid w:val="00745D50"/>
    <w:rsid w:val="00745D94"/>
    <w:rsid w:val="007478C8"/>
    <w:rsid w:val="00750014"/>
    <w:rsid w:val="007543F7"/>
    <w:rsid w:val="007550A7"/>
    <w:rsid w:val="00755AC3"/>
    <w:rsid w:val="00764DD3"/>
    <w:rsid w:val="00764F7A"/>
    <w:rsid w:val="007668BE"/>
    <w:rsid w:val="007669AF"/>
    <w:rsid w:val="00766FFC"/>
    <w:rsid w:val="0076796B"/>
    <w:rsid w:val="00770A7B"/>
    <w:rsid w:val="007729A6"/>
    <w:rsid w:val="00774583"/>
    <w:rsid w:val="00784194"/>
    <w:rsid w:val="007849C6"/>
    <w:rsid w:val="007938DC"/>
    <w:rsid w:val="00797199"/>
    <w:rsid w:val="007972AD"/>
    <w:rsid w:val="007A1613"/>
    <w:rsid w:val="007B08FD"/>
    <w:rsid w:val="007B10D6"/>
    <w:rsid w:val="007B64B7"/>
    <w:rsid w:val="007B7402"/>
    <w:rsid w:val="007B7755"/>
    <w:rsid w:val="007B778A"/>
    <w:rsid w:val="007C05FE"/>
    <w:rsid w:val="007C1694"/>
    <w:rsid w:val="007C24C8"/>
    <w:rsid w:val="007C3B8A"/>
    <w:rsid w:val="007C3C03"/>
    <w:rsid w:val="007D220D"/>
    <w:rsid w:val="007D35D0"/>
    <w:rsid w:val="007D3BF3"/>
    <w:rsid w:val="007E1B54"/>
    <w:rsid w:val="007E6453"/>
    <w:rsid w:val="007E7BC6"/>
    <w:rsid w:val="00804109"/>
    <w:rsid w:val="00804B9D"/>
    <w:rsid w:val="008109CC"/>
    <w:rsid w:val="008164E6"/>
    <w:rsid w:val="00816D1E"/>
    <w:rsid w:val="0082099E"/>
    <w:rsid w:val="0083136A"/>
    <w:rsid w:val="00832DAB"/>
    <w:rsid w:val="00834D22"/>
    <w:rsid w:val="00836FCC"/>
    <w:rsid w:val="00847751"/>
    <w:rsid w:val="00856F6B"/>
    <w:rsid w:val="00863690"/>
    <w:rsid w:val="00864B29"/>
    <w:rsid w:val="00870DDC"/>
    <w:rsid w:val="0087336A"/>
    <w:rsid w:val="008846EC"/>
    <w:rsid w:val="00892348"/>
    <w:rsid w:val="00894410"/>
    <w:rsid w:val="008948B6"/>
    <w:rsid w:val="00895ABE"/>
    <w:rsid w:val="008A163B"/>
    <w:rsid w:val="008A200C"/>
    <w:rsid w:val="008A3A61"/>
    <w:rsid w:val="008B09A2"/>
    <w:rsid w:val="008B1F83"/>
    <w:rsid w:val="008B27E4"/>
    <w:rsid w:val="008B3D23"/>
    <w:rsid w:val="008B4D57"/>
    <w:rsid w:val="008B7B63"/>
    <w:rsid w:val="008B7D17"/>
    <w:rsid w:val="008C0715"/>
    <w:rsid w:val="008C0BDE"/>
    <w:rsid w:val="008C6652"/>
    <w:rsid w:val="008C71E4"/>
    <w:rsid w:val="008D181A"/>
    <w:rsid w:val="008D2C47"/>
    <w:rsid w:val="008E67F4"/>
    <w:rsid w:val="008F002D"/>
    <w:rsid w:val="008F21CF"/>
    <w:rsid w:val="008F2418"/>
    <w:rsid w:val="008F24A9"/>
    <w:rsid w:val="008F51AE"/>
    <w:rsid w:val="0090195D"/>
    <w:rsid w:val="00907185"/>
    <w:rsid w:val="0091007C"/>
    <w:rsid w:val="0091105C"/>
    <w:rsid w:val="00913430"/>
    <w:rsid w:val="00913B09"/>
    <w:rsid w:val="00916372"/>
    <w:rsid w:val="00916CC7"/>
    <w:rsid w:val="00922914"/>
    <w:rsid w:val="00923161"/>
    <w:rsid w:val="0092593E"/>
    <w:rsid w:val="00931C93"/>
    <w:rsid w:val="009325DC"/>
    <w:rsid w:val="00932ED6"/>
    <w:rsid w:val="00943021"/>
    <w:rsid w:val="00944CF3"/>
    <w:rsid w:val="00951231"/>
    <w:rsid w:val="00952283"/>
    <w:rsid w:val="00964590"/>
    <w:rsid w:val="00966015"/>
    <w:rsid w:val="00967DA7"/>
    <w:rsid w:val="00973FF7"/>
    <w:rsid w:val="00977928"/>
    <w:rsid w:val="009826A4"/>
    <w:rsid w:val="00992608"/>
    <w:rsid w:val="009945A5"/>
    <w:rsid w:val="009A1690"/>
    <w:rsid w:val="009A2B9D"/>
    <w:rsid w:val="009A34AC"/>
    <w:rsid w:val="009A7F1A"/>
    <w:rsid w:val="009B3817"/>
    <w:rsid w:val="009B3CAF"/>
    <w:rsid w:val="009B421D"/>
    <w:rsid w:val="009B48FC"/>
    <w:rsid w:val="009B77A1"/>
    <w:rsid w:val="009D47A8"/>
    <w:rsid w:val="009D5396"/>
    <w:rsid w:val="009E60CD"/>
    <w:rsid w:val="009E60F7"/>
    <w:rsid w:val="009E63B2"/>
    <w:rsid w:val="009F4217"/>
    <w:rsid w:val="009F7757"/>
    <w:rsid w:val="009F7FEB"/>
    <w:rsid w:val="00A0196D"/>
    <w:rsid w:val="00A03CD4"/>
    <w:rsid w:val="00A05751"/>
    <w:rsid w:val="00A068D2"/>
    <w:rsid w:val="00A115EC"/>
    <w:rsid w:val="00A11C9A"/>
    <w:rsid w:val="00A13797"/>
    <w:rsid w:val="00A149E4"/>
    <w:rsid w:val="00A17505"/>
    <w:rsid w:val="00A17B99"/>
    <w:rsid w:val="00A17F6E"/>
    <w:rsid w:val="00A2078D"/>
    <w:rsid w:val="00A249C6"/>
    <w:rsid w:val="00A26459"/>
    <w:rsid w:val="00A35297"/>
    <w:rsid w:val="00A42693"/>
    <w:rsid w:val="00A5448A"/>
    <w:rsid w:val="00A61407"/>
    <w:rsid w:val="00A61FFE"/>
    <w:rsid w:val="00A65F3C"/>
    <w:rsid w:val="00A6692F"/>
    <w:rsid w:val="00A67396"/>
    <w:rsid w:val="00A67948"/>
    <w:rsid w:val="00A70186"/>
    <w:rsid w:val="00A70CA5"/>
    <w:rsid w:val="00A717B3"/>
    <w:rsid w:val="00A741F5"/>
    <w:rsid w:val="00A80269"/>
    <w:rsid w:val="00A81B64"/>
    <w:rsid w:val="00A8251C"/>
    <w:rsid w:val="00A839B2"/>
    <w:rsid w:val="00A90BCD"/>
    <w:rsid w:val="00A9314D"/>
    <w:rsid w:val="00A94B4B"/>
    <w:rsid w:val="00A95954"/>
    <w:rsid w:val="00AA124F"/>
    <w:rsid w:val="00AA23F9"/>
    <w:rsid w:val="00AA37FE"/>
    <w:rsid w:val="00AA5565"/>
    <w:rsid w:val="00AA5C17"/>
    <w:rsid w:val="00AA64AA"/>
    <w:rsid w:val="00AB0B2C"/>
    <w:rsid w:val="00AB5BF1"/>
    <w:rsid w:val="00AB69CC"/>
    <w:rsid w:val="00AC592D"/>
    <w:rsid w:val="00AD0190"/>
    <w:rsid w:val="00AD726A"/>
    <w:rsid w:val="00AD7DDF"/>
    <w:rsid w:val="00AE1BC1"/>
    <w:rsid w:val="00AE20DF"/>
    <w:rsid w:val="00AE30F8"/>
    <w:rsid w:val="00AE6624"/>
    <w:rsid w:val="00AF407F"/>
    <w:rsid w:val="00AF4ABB"/>
    <w:rsid w:val="00AF6DAB"/>
    <w:rsid w:val="00AF7BE5"/>
    <w:rsid w:val="00B0019A"/>
    <w:rsid w:val="00B029B2"/>
    <w:rsid w:val="00B02EE4"/>
    <w:rsid w:val="00B06CA1"/>
    <w:rsid w:val="00B11E8D"/>
    <w:rsid w:val="00B12D1D"/>
    <w:rsid w:val="00B161CF"/>
    <w:rsid w:val="00B17815"/>
    <w:rsid w:val="00B21075"/>
    <w:rsid w:val="00B22F07"/>
    <w:rsid w:val="00B257BB"/>
    <w:rsid w:val="00B2621F"/>
    <w:rsid w:val="00B26797"/>
    <w:rsid w:val="00B27021"/>
    <w:rsid w:val="00B277DC"/>
    <w:rsid w:val="00B27CF3"/>
    <w:rsid w:val="00B3223F"/>
    <w:rsid w:val="00B35846"/>
    <w:rsid w:val="00B36110"/>
    <w:rsid w:val="00B36F40"/>
    <w:rsid w:val="00B400EE"/>
    <w:rsid w:val="00B4165D"/>
    <w:rsid w:val="00B4173A"/>
    <w:rsid w:val="00B44EEC"/>
    <w:rsid w:val="00B478D6"/>
    <w:rsid w:val="00B54494"/>
    <w:rsid w:val="00B623D1"/>
    <w:rsid w:val="00B63466"/>
    <w:rsid w:val="00B6395A"/>
    <w:rsid w:val="00B71454"/>
    <w:rsid w:val="00B7392C"/>
    <w:rsid w:val="00B80CF1"/>
    <w:rsid w:val="00B8620A"/>
    <w:rsid w:val="00B879EC"/>
    <w:rsid w:val="00B9056D"/>
    <w:rsid w:val="00B907E3"/>
    <w:rsid w:val="00B92130"/>
    <w:rsid w:val="00BA0295"/>
    <w:rsid w:val="00BA0307"/>
    <w:rsid w:val="00BA17A4"/>
    <w:rsid w:val="00BB0975"/>
    <w:rsid w:val="00BB1B3D"/>
    <w:rsid w:val="00BB3DE0"/>
    <w:rsid w:val="00BB3E50"/>
    <w:rsid w:val="00BB4D2B"/>
    <w:rsid w:val="00BB694D"/>
    <w:rsid w:val="00BB721B"/>
    <w:rsid w:val="00BC286B"/>
    <w:rsid w:val="00BC54BA"/>
    <w:rsid w:val="00BC6C8B"/>
    <w:rsid w:val="00BD3AE2"/>
    <w:rsid w:val="00BD5060"/>
    <w:rsid w:val="00BD56DC"/>
    <w:rsid w:val="00BD75D2"/>
    <w:rsid w:val="00BE2735"/>
    <w:rsid w:val="00BE4627"/>
    <w:rsid w:val="00BE6BAC"/>
    <w:rsid w:val="00BF1E5B"/>
    <w:rsid w:val="00BF635A"/>
    <w:rsid w:val="00C058B2"/>
    <w:rsid w:val="00C069C2"/>
    <w:rsid w:val="00C11091"/>
    <w:rsid w:val="00C179CC"/>
    <w:rsid w:val="00C20A7B"/>
    <w:rsid w:val="00C22D8E"/>
    <w:rsid w:val="00C251D8"/>
    <w:rsid w:val="00C318BF"/>
    <w:rsid w:val="00C36745"/>
    <w:rsid w:val="00C36850"/>
    <w:rsid w:val="00C47B5F"/>
    <w:rsid w:val="00C53CD5"/>
    <w:rsid w:val="00C55950"/>
    <w:rsid w:val="00C55C80"/>
    <w:rsid w:val="00C62CFD"/>
    <w:rsid w:val="00C805C6"/>
    <w:rsid w:val="00C80DF3"/>
    <w:rsid w:val="00C81341"/>
    <w:rsid w:val="00C82B0F"/>
    <w:rsid w:val="00C838E1"/>
    <w:rsid w:val="00C922B5"/>
    <w:rsid w:val="00C94BEF"/>
    <w:rsid w:val="00C95F36"/>
    <w:rsid w:val="00C97F37"/>
    <w:rsid w:val="00CA0DB6"/>
    <w:rsid w:val="00CA2CF7"/>
    <w:rsid w:val="00CA356A"/>
    <w:rsid w:val="00CB0CD1"/>
    <w:rsid w:val="00CB10D4"/>
    <w:rsid w:val="00CB4376"/>
    <w:rsid w:val="00CB4900"/>
    <w:rsid w:val="00CB676B"/>
    <w:rsid w:val="00CC7C80"/>
    <w:rsid w:val="00CD14D5"/>
    <w:rsid w:val="00CD2D97"/>
    <w:rsid w:val="00CD4B31"/>
    <w:rsid w:val="00CE04E3"/>
    <w:rsid w:val="00CE238E"/>
    <w:rsid w:val="00CE6736"/>
    <w:rsid w:val="00CE67C1"/>
    <w:rsid w:val="00CF1337"/>
    <w:rsid w:val="00CF26F3"/>
    <w:rsid w:val="00CF341F"/>
    <w:rsid w:val="00D01095"/>
    <w:rsid w:val="00D06E4D"/>
    <w:rsid w:val="00D0743D"/>
    <w:rsid w:val="00D11164"/>
    <w:rsid w:val="00D13B74"/>
    <w:rsid w:val="00D2020D"/>
    <w:rsid w:val="00D26436"/>
    <w:rsid w:val="00D42873"/>
    <w:rsid w:val="00D509F7"/>
    <w:rsid w:val="00D524BB"/>
    <w:rsid w:val="00D52C4D"/>
    <w:rsid w:val="00D603F2"/>
    <w:rsid w:val="00D620E1"/>
    <w:rsid w:val="00D65289"/>
    <w:rsid w:val="00D77FB5"/>
    <w:rsid w:val="00D81938"/>
    <w:rsid w:val="00D82583"/>
    <w:rsid w:val="00D83400"/>
    <w:rsid w:val="00D91A32"/>
    <w:rsid w:val="00D929BA"/>
    <w:rsid w:val="00D930DC"/>
    <w:rsid w:val="00DA2CE5"/>
    <w:rsid w:val="00DA4AE1"/>
    <w:rsid w:val="00DA5951"/>
    <w:rsid w:val="00DB4AB3"/>
    <w:rsid w:val="00DB525A"/>
    <w:rsid w:val="00DB7D1A"/>
    <w:rsid w:val="00DC148F"/>
    <w:rsid w:val="00DD6C71"/>
    <w:rsid w:val="00DE1743"/>
    <w:rsid w:val="00DE2679"/>
    <w:rsid w:val="00DE2D93"/>
    <w:rsid w:val="00DE4FE4"/>
    <w:rsid w:val="00DF3145"/>
    <w:rsid w:val="00DF3CD8"/>
    <w:rsid w:val="00DF4EFF"/>
    <w:rsid w:val="00E017BB"/>
    <w:rsid w:val="00E01DB4"/>
    <w:rsid w:val="00E02084"/>
    <w:rsid w:val="00E04B01"/>
    <w:rsid w:val="00E112DF"/>
    <w:rsid w:val="00E12185"/>
    <w:rsid w:val="00E12F16"/>
    <w:rsid w:val="00E14B9F"/>
    <w:rsid w:val="00E16304"/>
    <w:rsid w:val="00E17280"/>
    <w:rsid w:val="00E17543"/>
    <w:rsid w:val="00E21CDB"/>
    <w:rsid w:val="00E22EDD"/>
    <w:rsid w:val="00E23FCC"/>
    <w:rsid w:val="00E26335"/>
    <w:rsid w:val="00E264FA"/>
    <w:rsid w:val="00E27016"/>
    <w:rsid w:val="00E27537"/>
    <w:rsid w:val="00E31B94"/>
    <w:rsid w:val="00E504F5"/>
    <w:rsid w:val="00E5300D"/>
    <w:rsid w:val="00E55F1E"/>
    <w:rsid w:val="00E57F2E"/>
    <w:rsid w:val="00E6096C"/>
    <w:rsid w:val="00E616B8"/>
    <w:rsid w:val="00E65C40"/>
    <w:rsid w:val="00E70CF1"/>
    <w:rsid w:val="00E75E92"/>
    <w:rsid w:val="00E7694F"/>
    <w:rsid w:val="00E80BB9"/>
    <w:rsid w:val="00E81222"/>
    <w:rsid w:val="00E83B7E"/>
    <w:rsid w:val="00E87C81"/>
    <w:rsid w:val="00E93792"/>
    <w:rsid w:val="00E971AE"/>
    <w:rsid w:val="00EA3EDD"/>
    <w:rsid w:val="00EB0E43"/>
    <w:rsid w:val="00EB31F6"/>
    <w:rsid w:val="00EB5CD3"/>
    <w:rsid w:val="00EB7C41"/>
    <w:rsid w:val="00EC7B45"/>
    <w:rsid w:val="00ED3A06"/>
    <w:rsid w:val="00EE2215"/>
    <w:rsid w:val="00EE6AEB"/>
    <w:rsid w:val="00EF401B"/>
    <w:rsid w:val="00F006E5"/>
    <w:rsid w:val="00F02437"/>
    <w:rsid w:val="00F048BF"/>
    <w:rsid w:val="00F148DE"/>
    <w:rsid w:val="00F1493A"/>
    <w:rsid w:val="00F153B6"/>
    <w:rsid w:val="00F153E3"/>
    <w:rsid w:val="00F156DA"/>
    <w:rsid w:val="00F17C63"/>
    <w:rsid w:val="00F309F3"/>
    <w:rsid w:val="00F31ADD"/>
    <w:rsid w:val="00F4018E"/>
    <w:rsid w:val="00F4315F"/>
    <w:rsid w:val="00F437E8"/>
    <w:rsid w:val="00F46868"/>
    <w:rsid w:val="00F47965"/>
    <w:rsid w:val="00F5045D"/>
    <w:rsid w:val="00F51678"/>
    <w:rsid w:val="00F558EC"/>
    <w:rsid w:val="00F560B4"/>
    <w:rsid w:val="00F60718"/>
    <w:rsid w:val="00F64385"/>
    <w:rsid w:val="00F70651"/>
    <w:rsid w:val="00F724AA"/>
    <w:rsid w:val="00F83622"/>
    <w:rsid w:val="00F83E4D"/>
    <w:rsid w:val="00F90002"/>
    <w:rsid w:val="00F90347"/>
    <w:rsid w:val="00F92693"/>
    <w:rsid w:val="00F943AB"/>
    <w:rsid w:val="00F945BC"/>
    <w:rsid w:val="00F952AE"/>
    <w:rsid w:val="00F96494"/>
    <w:rsid w:val="00FA1004"/>
    <w:rsid w:val="00FB09F5"/>
    <w:rsid w:val="00FB3CE8"/>
    <w:rsid w:val="00FB5BEE"/>
    <w:rsid w:val="00FB7797"/>
    <w:rsid w:val="00FC0453"/>
    <w:rsid w:val="00FC34BD"/>
    <w:rsid w:val="00FC5D00"/>
    <w:rsid w:val="00FC613F"/>
    <w:rsid w:val="00FC661D"/>
    <w:rsid w:val="00FD3D7A"/>
    <w:rsid w:val="00FE1809"/>
    <w:rsid w:val="00FE1A1D"/>
    <w:rsid w:val="00FE421A"/>
    <w:rsid w:val="00FE551A"/>
    <w:rsid w:val="00FE7755"/>
    <w:rsid w:val="00FF35A8"/>
    <w:rsid w:val="40DB15D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10"/>
    <w:uiPriority w:val="99"/>
    <w:pPr>
      <w:tabs>
        <w:tab w:val="center" w:pos="4153"/>
        <w:tab w:val="right" w:pos="8306"/>
      </w:tabs>
      <w:snapToGrid w:val="0"/>
      <w:jc w:val="left"/>
    </w:pPr>
    <w:rPr>
      <w:kern w:val="0"/>
      <w:sz w:val="18"/>
      <w:szCs w:val="18"/>
    </w:rPr>
  </w:style>
  <w:style w:type="paragraph" w:styleId="4">
    <w:name w:val="header"/>
    <w:basedOn w:val="1"/>
    <w:link w:val="9"/>
    <w:uiPriority w:val="99"/>
    <w:pPr>
      <w:pBdr>
        <w:bottom w:val="single" w:color="auto" w:sz="6" w:space="1"/>
      </w:pBdr>
      <w:tabs>
        <w:tab w:val="center" w:pos="4153"/>
        <w:tab w:val="right" w:pos="8306"/>
      </w:tabs>
      <w:snapToGrid w:val="0"/>
      <w:jc w:val="center"/>
    </w:pPr>
    <w:rPr>
      <w:kern w:val="0"/>
      <w:sz w:val="18"/>
      <w:szCs w:val="18"/>
    </w:rPr>
  </w:style>
  <w:style w:type="table" w:styleId="6">
    <w:name w:val="Table Grid"/>
    <w:basedOn w:val="5"/>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8">
    <w:name w:val="List Paragraph"/>
    <w:basedOn w:val="1"/>
    <w:qFormat/>
    <w:uiPriority w:val="34"/>
    <w:pPr>
      <w:ind w:firstLine="420" w:firstLineChars="200"/>
    </w:pPr>
  </w:style>
  <w:style w:type="character" w:customStyle="1" w:styleId="9">
    <w:name w:val="页眉 字符"/>
    <w:link w:val="4"/>
    <w:locked/>
    <w:uiPriority w:val="99"/>
    <w:rPr>
      <w:sz w:val="18"/>
    </w:rPr>
  </w:style>
  <w:style w:type="character" w:customStyle="1" w:styleId="10">
    <w:name w:val="页脚 字符"/>
    <w:link w:val="3"/>
    <w:locked/>
    <w:uiPriority w:val="99"/>
    <w:rPr>
      <w:sz w:val="18"/>
    </w:rPr>
  </w:style>
  <w:style w:type="character" w:customStyle="1" w:styleId="11">
    <w:name w:val="批注框文本 字符"/>
    <w:basedOn w:val="7"/>
    <w:link w:val="2"/>
    <w:semiHidden/>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A89FBE3-CC80-4AB5-826C-EB25E5DAAEFF}">
  <ds:schemaRefs/>
</ds:datastoreItem>
</file>

<file path=docProps/app.xml><?xml version="1.0" encoding="utf-8"?>
<Properties xmlns="http://schemas.openxmlformats.org/officeDocument/2006/extended-properties" xmlns:vt="http://schemas.openxmlformats.org/officeDocument/2006/docPropsVTypes">
  <Template>Normal</Template>
  <Pages>29</Pages>
  <Words>2454</Words>
  <Characters>13993</Characters>
  <Lines>116</Lines>
  <Paragraphs>32</Paragraphs>
  <TotalTime>88</TotalTime>
  <ScaleCrop>false</ScaleCrop>
  <LinksUpToDate>false</LinksUpToDate>
  <CharactersWithSpaces>16415</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2021-01-04T01:35:00Z</dcterms:created>
  <dc:creator>ADMIN</dc:creator>
  <cp:lastModifiedBy>Epoint</cp:lastModifiedBy>
  <cp:lastPrinted>2020-12-17T09:42:00Z</cp:lastPrinted>
  <dcterms:modified xsi:type="dcterms:W3CDTF">2021-07-16T09:33:46Z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