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上海市崇明区人民政府2022年度重大行政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lang w:eastAsia="zh-CN"/>
        </w:rPr>
      </w:pPr>
      <w:r>
        <w:rPr>
          <w:rFonts w:hint="eastAsia" w:ascii="方正小标宋简体" w:hAnsi="方正小标宋简体" w:eastAsia="方正小标宋简体" w:cs="方正小标宋简体"/>
          <w:sz w:val="44"/>
          <w:szCs w:val="44"/>
          <w:lang w:eastAsia="zh-CN"/>
        </w:rPr>
        <w:t>决策事项管理工作制度规范</w:t>
      </w:r>
    </w:p>
    <w:p>
      <w:pPr>
        <w:keepNext w:val="0"/>
        <w:keepLines w:val="0"/>
        <w:pageBreakBefore w:val="0"/>
        <w:widowControl w:val="0"/>
        <w:kinsoku/>
        <w:wordWrap/>
        <w:overflowPunct/>
        <w:topLinePunct w:val="0"/>
        <w:autoSpaceDE/>
        <w:autoSpaceDN/>
        <w:bidi w:val="0"/>
        <w:adjustRightInd/>
        <w:snapToGrid/>
        <w:spacing w:line="560" w:lineRule="exact"/>
        <w:ind w:left="0" w:leftChars="0"/>
        <w:jc w:val="both"/>
        <w:textAlignment w:val="auto"/>
        <w:outlineLvl w:val="9"/>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jc w:val="both"/>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各决策承办单位：</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为进一步规范区政府重大行政决策程序，保障科学、民主、依法决策，提高决策质量和效率，区政府办公室根据《上海市重大行政决策程序规定》及其配套文件有关要求，于2022年3月组织编制完成了《2022年度上海市崇明区人民政府重大行政决策事项目录》</w:t>
      </w:r>
      <w:r>
        <w:rPr>
          <w:rFonts w:hint="eastAsia" w:ascii="楷体_GB2312" w:hAnsi="楷体_GB2312" w:eastAsia="楷体_GB2312" w:cs="楷体_GB2312"/>
          <w:sz w:val="32"/>
          <w:szCs w:val="32"/>
          <w:lang w:val="en-US" w:eastAsia="zh-CN"/>
        </w:rPr>
        <w:t>（以下简</w:t>
      </w:r>
      <w:bookmarkStart w:id="0" w:name="_GoBack"/>
      <w:bookmarkEnd w:id="0"/>
      <w:r>
        <w:rPr>
          <w:rFonts w:hint="eastAsia" w:ascii="楷体_GB2312" w:hAnsi="楷体_GB2312" w:eastAsia="楷体_GB2312" w:cs="楷体_GB2312"/>
          <w:sz w:val="32"/>
          <w:szCs w:val="32"/>
          <w:lang w:val="en-US" w:eastAsia="zh-CN"/>
        </w:rPr>
        <w:t>称《目录》，详见附件1）</w:t>
      </w:r>
      <w:r>
        <w:rPr>
          <w:rFonts w:hint="eastAsia" w:ascii="仿宋_GB2312" w:hAnsi="仿宋_GB2312" w:eastAsia="仿宋_GB2312" w:cs="仿宋_GB2312"/>
          <w:sz w:val="32"/>
          <w:szCs w:val="32"/>
          <w:lang w:val="en-US" w:eastAsia="zh-CN"/>
        </w:rPr>
        <w:t>。列入《目录》的决策事项，应严格履行征求公众意见、专家论证、风险评估、合法性审查、集体审议等法定程序。现就区政府重大行政决策事项相关制定程序提示如下。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一、决策草案拟订</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决策承办单位应当按照下列要求，拟订决策草案：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1.广泛深入开展调查研究，全面准确掌握有关信息，与决策事项涉及的单位充分协商协调，达成一致意见；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2.全面梳理与决策事项有关的法律、法规、规章和政策，使决策草案合法合规、与有关政策相衔接；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3.根据需要对决策事项涉及的人财物投入、资源消耗、环境影响等成本和经济、社会、环境效益进行分析预测。</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二、公众参与</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（一）公开征求公众意见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决策草案形成后，决策承办单位应及时主动联系区政府办公室信息公开科，提供</w:t>
      </w:r>
      <w:r>
        <w:rPr>
          <w:rFonts w:hint="eastAsia" w:ascii="仿宋_GB2312" w:hAnsi="仿宋_GB2312" w:eastAsia="仿宋_GB2312" w:cs="仿宋_GB2312"/>
          <w:b/>
          <w:bCs/>
          <w:sz w:val="32"/>
          <w:szCs w:val="32"/>
          <w:lang w:val="en-US" w:eastAsia="zh-CN"/>
        </w:rPr>
        <w:t>决策草案征求意见稿</w:t>
      </w:r>
      <w:r>
        <w:rPr>
          <w:rFonts w:hint="eastAsia" w:ascii="仿宋_GB2312" w:hAnsi="仿宋_GB2312" w:eastAsia="仿宋_GB2312" w:cs="仿宋_GB2312"/>
          <w:b w:val="0"/>
          <w:bCs w:val="0"/>
          <w:sz w:val="32"/>
          <w:szCs w:val="32"/>
          <w:lang w:val="en-US" w:eastAsia="zh-CN"/>
        </w:rPr>
        <w:t>等材料，在区政府门户网站上公开征求社会公众意见。公开征求社会公众意见期限一般</w:t>
      </w:r>
      <w:r>
        <w:rPr>
          <w:rFonts w:hint="eastAsia" w:ascii="仿宋_GB2312" w:hAnsi="仿宋_GB2312" w:eastAsia="仿宋_GB2312" w:cs="仿宋_GB2312"/>
          <w:b/>
          <w:bCs/>
          <w:sz w:val="32"/>
          <w:szCs w:val="32"/>
          <w:lang w:val="en-US" w:eastAsia="zh-CN"/>
        </w:rPr>
        <w:t>不少于30日</w:t>
      </w:r>
      <w:r>
        <w:rPr>
          <w:rFonts w:hint="eastAsia" w:ascii="仿宋_GB2312" w:hAnsi="仿宋_GB2312" w:eastAsia="仿宋_GB2312" w:cs="仿宋_GB2312"/>
          <w:b w:val="0"/>
          <w:bCs w:val="0"/>
          <w:sz w:val="32"/>
          <w:szCs w:val="32"/>
          <w:lang w:val="en-US" w:eastAsia="zh-CN"/>
        </w:rPr>
        <w:t>，确因情况紧急等特殊原因需要缩短期限的，应在公开征求意见公告中予以说明。</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（二）其他公众参与方式</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val="0"/>
          <w:sz w:val="32"/>
          <w:szCs w:val="32"/>
          <w:lang w:val="en-US" w:eastAsia="zh-CN"/>
        </w:rPr>
        <w:t>除了在区政府门户网站上公开征求公众意见外，</w:t>
      </w:r>
      <w:r>
        <w:rPr>
          <w:rFonts w:hint="eastAsia" w:ascii="仿宋_GB2312" w:hAnsi="仿宋_GB2312" w:eastAsia="仿宋_GB2312" w:cs="仿宋_GB2312"/>
          <w:sz w:val="32"/>
          <w:szCs w:val="32"/>
          <w:lang w:val="en-US" w:eastAsia="zh-CN"/>
        </w:rPr>
        <w:t>决策承办单位还可以通过</w:t>
      </w:r>
      <w:r>
        <w:rPr>
          <w:rFonts w:hint="eastAsia" w:ascii="仿宋_GB2312" w:hAnsi="仿宋_GB2312" w:eastAsia="仿宋_GB2312" w:cs="仿宋_GB2312"/>
          <w:b/>
          <w:bCs/>
          <w:sz w:val="32"/>
          <w:szCs w:val="32"/>
          <w:lang w:val="en-US" w:eastAsia="zh-CN"/>
        </w:rPr>
        <w:t>座谈会、听证会、实地走访、书面征求意见、问卷调查、民意调查</w:t>
      </w:r>
      <w:r>
        <w:rPr>
          <w:rFonts w:hint="eastAsia" w:ascii="仿宋_GB2312" w:hAnsi="仿宋_GB2312" w:eastAsia="仿宋_GB2312" w:cs="仿宋_GB2312"/>
          <w:sz w:val="32"/>
          <w:szCs w:val="32"/>
          <w:lang w:val="en-US" w:eastAsia="zh-CN"/>
        </w:rPr>
        <w:t>等方式听取公众意见。决策事项与企业生产经营活动密切相关的，决策承办单位应当充分听取企业和行业协会商会意见。决策事项涉及特定群体利益的，决策承办单位应当与相关人民团体、行业组织及其他社会组织、群众代表进行沟通协商，充分听取意见建议。</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（三）公众意见采纳</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决策承办单位应当全面、客观归纳整理各方面意见，并进行认真研究论证，充分听取采纳合理意见，完善决策草案。应当制定</w:t>
      </w:r>
      <w:r>
        <w:rPr>
          <w:rFonts w:hint="eastAsia" w:ascii="仿宋_GB2312" w:hAnsi="仿宋_GB2312" w:eastAsia="仿宋_GB2312" w:cs="仿宋_GB2312"/>
          <w:b/>
          <w:bCs/>
          <w:sz w:val="32"/>
          <w:szCs w:val="32"/>
          <w:lang w:val="en-US" w:eastAsia="zh-CN"/>
        </w:rPr>
        <w:t>公众参与情况报告</w:t>
      </w:r>
      <w:r>
        <w:rPr>
          <w:rFonts w:hint="eastAsia" w:ascii="楷体_GB2312" w:hAnsi="楷体_GB2312" w:eastAsia="楷体_GB2312" w:cs="楷体_GB2312"/>
          <w:b w:val="0"/>
          <w:bCs w:val="0"/>
          <w:color w:val="auto"/>
          <w:sz w:val="32"/>
          <w:szCs w:val="32"/>
          <w:lang w:val="en-US" w:eastAsia="zh-CN"/>
        </w:rPr>
        <w:t>（报告模板详见附件4）</w:t>
      </w:r>
      <w:r>
        <w:rPr>
          <w:rFonts w:hint="eastAsia" w:ascii="仿宋_GB2312" w:hAnsi="仿宋_GB2312" w:eastAsia="仿宋_GB2312" w:cs="仿宋_GB2312"/>
          <w:sz w:val="32"/>
          <w:szCs w:val="32"/>
          <w:lang w:val="en-US" w:eastAsia="zh-CN"/>
        </w:rPr>
        <w:t>，载明履行公众参与程序的情况，特别是公众提出的主要意见的研究采纳情况。</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三、专家论证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决策承办单位应当组织专家、专业机构对决策事项的必要性、可行性、科学性等进行论证，并出具</w:t>
      </w:r>
      <w:r>
        <w:rPr>
          <w:rFonts w:hint="eastAsia" w:ascii="仿宋_GB2312" w:hAnsi="仿宋_GB2312" w:eastAsia="仿宋_GB2312" w:cs="仿宋_GB2312"/>
          <w:b w:val="0"/>
          <w:bCs w:val="0"/>
          <w:sz w:val="32"/>
          <w:szCs w:val="32"/>
          <w:lang w:val="en-US" w:eastAsia="zh-CN"/>
        </w:rPr>
        <w:t>专家咨询论证情况报告</w:t>
      </w:r>
      <w:r>
        <w:rPr>
          <w:rFonts w:hint="eastAsia" w:ascii="仿宋_GB2312" w:hAnsi="仿宋_GB2312" w:eastAsia="仿宋_GB2312" w:cs="仿宋_GB2312"/>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（一）专家选择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决策承办单位可自行联系专家；也可与市政府发展研究中心联系（联系人：吕朋23113419），从“决策咨询专家库服务平台”中选择相关领域专家参与咨询论证。参与论证的专家应当为</w:t>
      </w:r>
      <w:r>
        <w:rPr>
          <w:rFonts w:hint="eastAsia" w:ascii="仿宋_GB2312" w:hAnsi="仿宋_GB2312" w:eastAsia="仿宋_GB2312" w:cs="仿宋_GB2312"/>
          <w:b/>
          <w:bCs/>
          <w:sz w:val="32"/>
          <w:szCs w:val="32"/>
          <w:lang w:val="en-US" w:eastAsia="zh-CN"/>
        </w:rPr>
        <w:t>单数</w:t>
      </w:r>
      <w:r>
        <w:rPr>
          <w:rFonts w:hint="eastAsia" w:ascii="仿宋_GB2312" w:hAnsi="仿宋_GB2312" w:eastAsia="仿宋_GB2312" w:cs="仿宋_GB2312"/>
          <w:sz w:val="32"/>
          <w:szCs w:val="32"/>
          <w:lang w:val="en-US" w:eastAsia="zh-CN"/>
        </w:rPr>
        <w:t>，一般</w:t>
      </w:r>
      <w:r>
        <w:rPr>
          <w:rFonts w:hint="eastAsia" w:ascii="仿宋_GB2312" w:hAnsi="仿宋_GB2312" w:eastAsia="仿宋_GB2312" w:cs="仿宋_GB2312"/>
          <w:b/>
          <w:bCs/>
          <w:sz w:val="32"/>
          <w:szCs w:val="32"/>
          <w:lang w:val="en-US" w:eastAsia="zh-CN"/>
        </w:rPr>
        <w:t>不少于3位</w:t>
      </w:r>
      <w:r>
        <w:rPr>
          <w:rFonts w:hint="eastAsia" w:ascii="仿宋_GB2312" w:hAnsi="仿宋_GB2312" w:eastAsia="仿宋_GB2312" w:cs="仿宋_GB2312"/>
          <w:sz w:val="32"/>
          <w:szCs w:val="32"/>
          <w:lang w:val="en-US" w:eastAsia="zh-CN"/>
        </w:rPr>
        <w:t>；涉及面较广、争议性较强或者内容特别复杂、敏感的重大行政决策，一般应当有5位以上专家参加咨询论证。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（二）专家咨询论证方式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决策承办单位组织专家咨询论证，可以采取召开专家论证会、书面征询专家意见、委托咨询论证等方式。决策承办单位应当提前向参与咨询论证的专家提供决策草案、起草说明、论证重点以及相关材料。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（三）出具专家咨询论证情况报告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b w:val="0"/>
          <w:bCs w:val="0"/>
          <w:color w:val="0070C0"/>
          <w:sz w:val="32"/>
          <w:szCs w:val="32"/>
          <w:lang w:val="en-US" w:eastAsia="zh-CN"/>
        </w:rPr>
      </w:pPr>
      <w:r>
        <w:rPr>
          <w:rFonts w:hint="eastAsia" w:ascii="仿宋_GB2312" w:hAnsi="仿宋_GB2312" w:eastAsia="仿宋_GB2312" w:cs="仿宋_GB2312"/>
          <w:sz w:val="32"/>
          <w:szCs w:val="32"/>
          <w:lang w:val="en-US" w:eastAsia="zh-CN"/>
        </w:rPr>
        <w:t>对专家提供的书面意见，决策承办单位应当认真研究，采纳合理的意见，在此基础上形成</w:t>
      </w:r>
      <w:r>
        <w:rPr>
          <w:rFonts w:hint="eastAsia" w:ascii="仿宋_GB2312" w:hAnsi="仿宋_GB2312" w:eastAsia="仿宋_GB2312" w:cs="仿宋_GB2312"/>
          <w:b/>
          <w:bCs/>
          <w:color w:val="auto"/>
          <w:sz w:val="32"/>
          <w:szCs w:val="32"/>
          <w:lang w:val="en-US" w:eastAsia="zh-CN"/>
        </w:rPr>
        <w:t>专家咨询论证情况报告</w:t>
      </w:r>
      <w:r>
        <w:rPr>
          <w:rFonts w:hint="eastAsia" w:ascii="楷体_GB2312" w:hAnsi="楷体_GB2312" w:eastAsia="楷体_GB2312" w:cs="楷体_GB2312"/>
          <w:b w:val="0"/>
          <w:bCs w:val="0"/>
          <w:color w:val="auto"/>
          <w:sz w:val="32"/>
          <w:szCs w:val="32"/>
          <w:lang w:val="en-US" w:eastAsia="zh-CN"/>
        </w:rPr>
        <w:t>（报告模板详见附件5）</w:t>
      </w:r>
      <w:r>
        <w:rPr>
          <w:rFonts w:hint="eastAsia" w:ascii="楷体_GB2312" w:hAnsi="楷体_GB2312" w:eastAsia="楷体_GB2312" w:cs="楷体_GB2312"/>
          <w:b w:val="0"/>
          <w:bCs w:val="0"/>
          <w:color w:val="0070C0"/>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val="0"/>
          <w:bCs w:val="0"/>
          <w:color w:val="auto"/>
          <w:sz w:val="32"/>
          <w:szCs w:val="32"/>
          <w:lang w:val="en-US" w:eastAsia="zh-CN"/>
        </w:rPr>
        <w:t>专家咨询论证情况报告应当全面、真实、客观地反映专家意见，主要</w:t>
      </w:r>
      <w:r>
        <w:rPr>
          <w:rFonts w:hint="eastAsia" w:ascii="仿宋_GB2312" w:hAnsi="仿宋_GB2312" w:eastAsia="仿宋_GB2312" w:cs="仿宋_GB2312"/>
          <w:sz w:val="32"/>
          <w:szCs w:val="32"/>
          <w:lang w:val="en-US" w:eastAsia="zh-CN"/>
        </w:rPr>
        <w:t>包括以下内容：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1.决策的必要性、可行性、科学性；</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2.决策的经济社会效益；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3.决策的执行条件；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4.决策可能面临的社会稳定、公共安全、生态环境等方面的风险或者问题；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5.决策实施后可能引发问题的对策；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6.对决策方案是否可以施行以及修改的建议；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7.其他的相关因素研究及建议。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（四）服务保障和报酬列支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决策承办单位应当为专家参与咨询论证提供必要保障，支持其独立开展工作。专家咨询论证的报酬，由决策承办单位按照财政资金使用的规定列支。</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四、风险评估</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决策承办单位应自行或委托专业机构、社会组织等开展风险评估，对决策事项的主要风险源、风险点进行排查，科学预测、综合研判决策实施的风险，形成</w:t>
      </w:r>
      <w:r>
        <w:rPr>
          <w:rFonts w:hint="eastAsia" w:ascii="仿宋_GB2312" w:hAnsi="仿宋_GB2312" w:eastAsia="仿宋_GB2312" w:cs="仿宋_GB2312"/>
          <w:b w:val="0"/>
          <w:bCs w:val="0"/>
          <w:color w:val="auto"/>
          <w:sz w:val="32"/>
          <w:szCs w:val="32"/>
          <w:lang w:val="en-US" w:eastAsia="zh-CN"/>
        </w:rPr>
        <w:t>风险评估报告</w:t>
      </w:r>
      <w:r>
        <w:rPr>
          <w:rFonts w:hint="eastAsia" w:ascii="仿宋_GB2312" w:hAnsi="仿宋_GB2312" w:eastAsia="仿宋_GB2312" w:cs="仿宋_GB2312"/>
          <w:color w:val="auto"/>
          <w:sz w:val="32"/>
          <w:szCs w:val="32"/>
          <w:lang w:val="en-US" w:eastAsia="zh-CN"/>
        </w:rPr>
        <w:t>，明确风险等级，并提出预防、控制风险的具体措施和处置预案。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（一）评估形式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1.自行开展评估。</w:t>
      </w:r>
      <w:r>
        <w:rPr>
          <w:rFonts w:hint="eastAsia" w:ascii="仿宋_GB2312" w:hAnsi="仿宋_GB2312" w:eastAsia="仿宋_GB2312" w:cs="仿宋_GB2312"/>
          <w:b w:val="0"/>
          <w:bCs w:val="0"/>
          <w:color w:val="auto"/>
          <w:sz w:val="32"/>
          <w:szCs w:val="32"/>
          <w:lang w:val="en-US" w:eastAsia="zh-CN"/>
        </w:rPr>
        <w:t>采取自行评估的，</w:t>
      </w:r>
      <w:r>
        <w:rPr>
          <w:rFonts w:hint="eastAsia" w:ascii="仿宋_GB2312" w:hAnsi="仿宋_GB2312" w:eastAsia="仿宋_GB2312" w:cs="仿宋_GB2312"/>
          <w:color w:val="auto"/>
          <w:sz w:val="32"/>
          <w:szCs w:val="32"/>
          <w:lang w:val="en-US" w:eastAsia="zh-CN"/>
        </w:rPr>
        <w:t>应当组织利益相关方和相关部门参加，并根据需要，邀请人大代表、政协委员、法律顾问、专家学者以及社会组织、专业机构参加。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2.委托第三方机构开展评估。</w:t>
      </w:r>
      <w:r>
        <w:rPr>
          <w:rFonts w:hint="eastAsia" w:ascii="仿宋_GB2312" w:hAnsi="仿宋_GB2312" w:eastAsia="仿宋_GB2312" w:cs="仿宋_GB2312"/>
          <w:color w:val="auto"/>
          <w:sz w:val="32"/>
          <w:szCs w:val="32"/>
          <w:lang w:val="en-US" w:eastAsia="zh-CN"/>
        </w:rPr>
        <w:t>委托高等院校、科研机构、专业智库等第三方机构开展风险评估的，应当加强组织协调和监督管理，提供必要的保障支持。受委托的第三方机构应当具有相关专业知识、专业资质和行业权威。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推荐的第三方评估单位（包括但不限于）：上海投资咨询公司、长三角一体化示范区（上海）城市咨询有限公司、华东师范大学公共管理学院、发展改革研究院、上海市城市规划设计研究院、上海市土地学会、上海市经济信息中心、上海市环境科学研究院、上海市中夏律师事务所、锦天城律师事务所。</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（二）评估内容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开展风险评估，应当重点查找可能影响社会稳定、公共安全、生态环境、财政金融等方面的风险点、风险源，具体如下：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1.社会稳定风险，</w:t>
      </w:r>
      <w:r>
        <w:rPr>
          <w:rFonts w:hint="eastAsia" w:ascii="仿宋_GB2312" w:hAnsi="仿宋_GB2312" w:eastAsia="仿宋_GB2312" w:cs="仿宋_GB2312"/>
          <w:color w:val="auto"/>
          <w:sz w:val="32"/>
          <w:szCs w:val="32"/>
          <w:lang w:val="en-US" w:eastAsia="zh-CN"/>
        </w:rPr>
        <w:t>包括可能引发社会矛盾纠纷、群体性事件或者过激敏感事件等情形；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2.公共安全风险，包括可能造成人身伤亡、财产损害或者其他较大社会治安隐患等情形；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3.生态环境风险，包括可能造成重大环境污染、生态破坏或者次生自然灾害等情形；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4.财政金融风险，包括可能造成大额财政资金流失、重大政府性债务、区域性或者系统性金融风险隐患等情形；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5.其他可能引发危及国家安全、公共安全、经济社会安全的风险。</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color w:val="auto"/>
          <w:sz w:val="32"/>
          <w:szCs w:val="32"/>
          <w:lang w:val="en-US" w:eastAsia="zh-CN"/>
        </w:rPr>
      </w:pPr>
      <w:r>
        <w:rPr>
          <w:rFonts w:hint="eastAsia" w:ascii="楷体_GB2312" w:hAnsi="楷体_GB2312" w:eastAsia="楷体_GB2312" w:cs="楷体_GB2312"/>
          <w:b/>
          <w:bCs/>
          <w:color w:val="auto"/>
          <w:sz w:val="32"/>
          <w:szCs w:val="32"/>
          <w:lang w:val="en-US" w:eastAsia="zh-CN"/>
        </w:rPr>
        <w:t>（三）出具风险评估报告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风险评估报告</w:t>
      </w:r>
      <w:r>
        <w:rPr>
          <w:rFonts w:hint="eastAsia" w:ascii="楷体_GB2312" w:hAnsi="楷体_GB2312" w:eastAsia="楷体_GB2312" w:cs="楷体_GB2312"/>
          <w:color w:val="auto"/>
          <w:sz w:val="32"/>
          <w:szCs w:val="32"/>
          <w:lang w:val="en-US" w:eastAsia="zh-CN"/>
        </w:rPr>
        <w:t>（报告模板详见附件6）</w:t>
      </w:r>
      <w:r>
        <w:rPr>
          <w:rFonts w:hint="eastAsia" w:ascii="仿宋_GB2312" w:hAnsi="仿宋_GB2312" w:eastAsia="仿宋_GB2312" w:cs="仿宋_GB2312"/>
          <w:color w:val="auto"/>
          <w:sz w:val="32"/>
          <w:szCs w:val="32"/>
          <w:lang w:val="en-US" w:eastAsia="zh-CN"/>
        </w:rPr>
        <w:t>应当包括以下内容：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1.重大行政决策事项的基本情况；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2.风险评估的主体、方式和过程；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3.社会各方面对重大行政决策的反映；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4.重大行政决策的风险点、风险源；</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5.重大行政决策风险的影响；</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6.重大行政决策风险等级；</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7.重大行政决策风险防范和化解措施，以及应急处置预案等内容；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8.形成风险评估结果，提出相关决策建议。</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五、合法性初审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决策事项经过公众参与、专家论证、风险评估程序后，决策承办单位应当认真研究公众意见、专家论证意见、风险评估结果，充分采纳合理意见，对决策草案进行修改完善。决策承办单位法核机构或法律顾问应对修改后的草案进行合法性初审</w:t>
      </w:r>
      <w:r>
        <w:rPr>
          <w:rFonts w:hint="eastAsia" w:ascii="楷体_GB2312" w:hAnsi="楷体_GB2312" w:eastAsia="楷体_GB2312" w:cs="楷体_GB2312"/>
          <w:color w:val="auto"/>
          <w:sz w:val="32"/>
          <w:szCs w:val="32"/>
          <w:lang w:val="en-US" w:eastAsia="zh-CN"/>
        </w:rPr>
        <w:t>（合法性初审意见模板见附件7）</w:t>
      </w:r>
      <w:r>
        <w:rPr>
          <w:rFonts w:hint="eastAsia" w:ascii="仿宋_GB2312" w:hAnsi="仿宋_GB2312" w:eastAsia="仿宋_GB2312" w:cs="仿宋_GB2312"/>
          <w:color w:val="auto"/>
          <w:sz w:val="32"/>
          <w:szCs w:val="32"/>
          <w:lang w:val="en-US" w:eastAsia="zh-CN"/>
        </w:rPr>
        <w:t>。决策承办单位应当根据合法性初审意见，对决策草案进行必要调整或补充。</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合法性初审内容包括：</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1.决策事项是否符合区政府的法定权限；</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2.决策草案内容是否符合有关法律、法规、规章以及国家、本市和本区的政策规定；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3.决策草案的形成是否符合法定程序要求；</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4.其他需要审查的内容。</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六、合法性复审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决策承办单位将决策草案提请区政府集体讨论前，应当将决策草案送请区政府办公室法律事务科进行合法性复审。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（一）送审材料</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送请复审时，决策承办单位应提交以下材料，并对其真实性、完整性负责：</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1.决策草案；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2.起草说明；</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3.制定依据；</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4.公众参与情况报告；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5.专家咨询论证情况报告；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6.风险评估报告；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7.合法性初审意见。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3" w:firstLineChars="200"/>
        <w:jc w:val="both"/>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（二）审查时限</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重大行政决策的合法性复审，应当保证必要的审查时间，一般自收到材料之日起</w:t>
      </w:r>
      <w:r>
        <w:rPr>
          <w:rFonts w:hint="eastAsia" w:ascii="仿宋_GB2312" w:hAnsi="仿宋_GB2312" w:eastAsia="仿宋_GB2312" w:cs="仿宋_GB2312"/>
          <w:b/>
          <w:bCs/>
          <w:sz w:val="32"/>
          <w:szCs w:val="32"/>
          <w:lang w:val="en-US" w:eastAsia="zh-CN"/>
        </w:rPr>
        <w:t>不少于7个工作日</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决策承办单位应当根据合法性复审意见，对决策草案进行必要调整或补充。</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七、集体讨论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重大行政决策事项经合法性审查通过后，应先后提请区政府常务会议、区委常委会审议。提请审议应提供以下材料：</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1.决策草案；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2.起草说明；</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3.制定依据；</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4.公众参与情况报告；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5.专家咨询论证情况报告；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6.风险评估报告；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7.合法性初审意见；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8.合法性复审意见。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八、印发公布</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重大行政决策经集体审议通过后，应以区政府名义或决策承办单位名义制定印发。文件印发后，决策承办单位应及时联系区政府办公室信息公开科公布决策事项，并提供政策解读相关材料。</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有任何问题请及时与区政府办公室法律事务科联系。</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联系人：陈芳营；联系电话:59622324-8730</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1890" w:leftChars="303" w:hanging="1254" w:hangingChars="392"/>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附件：1.2022年度上海市崇明区人民政府重大行政决策事项目录</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2.起草说明参考模板</w:t>
      </w:r>
    </w:p>
    <w:p>
      <w:pPr>
        <w:keepNext w:val="0"/>
        <w:keepLines w:val="0"/>
        <w:pageBreakBefore w:val="0"/>
        <w:widowControl w:val="0"/>
        <w:kinsoku/>
        <w:wordWrap/>
        <w:overflowPunct/>
        <w:topLinePunct w:val="0"/>
        <w:autoSpaceDE/>
        <w:autoSpaceDN/>
        <w:bidi w:val="0"/>
        <w:adjustRightInd/>
        <w:snapToGrid/>
        <w:spacing w:line="560" w:lineRule="exact"/>
        <w:ind w:left="1257" w:leftChars="0" w:hanging="1257" w:hangingChars="393"/>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3.制定依据参考模板</w:t>
      </w:r>
    </w:p>
    <w:p>
      <w:pPr>
        <w:keepNext w:val="0"/>
        <w:keepLines w:val="0"/>
        <w:pageBreakBefore w:val="0"/>
        <w:widowControl w:val="0"/>
        <w:kinsoku/>
        <w:wordWrap/>
        <w:overflowPunct/>
        <w:topLinePunct w:val="0"/>
        <w:autoSpaceDE/>
        <w:autoSpaceDN/>
        <w:bidi w:val="0"/>
        <w:adjustRightInd/>
        <w:snapToGrid/>
        <w:spacing w:line="560" w:lineRule="exact"/>
        <w:ind w:left="1257" w:leftChars="0" w:hanging="1257" w:hangingChars="393"/>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4.公众参与情况报告参考模板</w:t>
      </w:r>
    </w:p>
    <w:p>
      <w:pPr>
        <w:keepNext w:val="0"/>
        <w:keepLines w:val="0"/>
        <w:pageBreakBefore w:val="0"/>
        <w:widowControl w:val="0"/>
        <w:kinsoku/>
        <w:wordWrap/>
        <w:overflowPunct/>
        <w:topLinePunct w:val="0"/>
        <w:autoSpaceDE/>
        <w:autoSpaceDN/>
        <w:bidi w:val="0"/>
        <w:adjustRightInd/>
        <w:snapToGrid/>
        <w:spacing w:line="560" w:lineRule="exact"/>
        <w:ind w:left="1257" w:leftChars="0" w:hanging="1257" w:hangingChars="393"/>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5.专家咨询论证情况报告参考模板</w:t>
      </w:r>
    </w:p>
    <w:p>
      <w:pPr>
        <w:keepNext w:val="0"/>
        <w:keepLines w:val="0"/>
        <w:pageBreakBefore w:val="0"/>
        <w:widowControl w:val="0"/>
        <w:kinsoku/>
        <w:wordWrap/>
        <w:overflowPunct/>
        <w:topLinePunct w:val="0"/>
        <w:autoSpaceDE/>
        <w:autoSpaceDN/>
        <w:bidi w:val="0"/>
        <w:adjustRightInd/>
        <w:snapToGrid/>
        <w:spacing w:line="560" w:lineRule="exact"/>
        <w:ind w:left="1257" w:leftChars="0" w:hanging="1257" w:hangingChars="393"/>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6.风险评估报告参考模板</w:t>
      </w:r>
    </w:p>
    <w:p>
      <w:pPr>
        <w:keepNext w:val="0"/>
        <w:keepLines w:val="0"/>
        <w:pageBreakBefore w:val="0"/>
        <w:widowControl w:val="0"/>
        <w:kinsoku/>
        <w:wordWrap/>
        <w:overflowPunct/>
        <w:topLinePunct w:val="0"/>
        <w:autoSpaceDE/>
        <w:autoSpaceDN/>
        <w:bidi w:val="0"/>
        <w:adjustRightInd/>
        <w:snapToGrid/>
        <w:spacing w:line="560" w:lineRule="exact"/>
        <w:ind w:left="1257" w:leftChars="0" w:hanging="1257" w:hangingChars="393"/>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7.合法性初审意见参考模板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jc w:val="center"/>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区政府办公室</w:t>
      </w:r>
    </w:p>
    <w:p>
      <w:pPr>
        <w:keepNext w:val="0"/>
        <w:keepLines w:val="0"/>
        <w:pageBreakBefore w:val="0"/>
        <w:widowControl w:val="0"/>
        <w:kinsoku/>
        <w:wordWrap/>
        <w:overflowPunct/>
        <w:topLinePunct w:val="0"/>
        <w:autoSpaceDE/>
        <w:autoSpaceDN/>
        <w:bidi w:val="0"/>
        <w:adjustRightInd/>
        <w:snapToGrid/>
        <w:spacing w:line="560" w:lineRule="exact"/>
        <w:ind w:left="0" w:leftChars="0"/>
        <w:jc w:val="center"/>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2022年4月2日</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仿宋_GB2312" w:hAnsi="仿宋_GB2312" w:eastAsia="仿宋_GB2312" w:cs="仿宋_GB2312"/>
          <w:sz w:val="32"/>
          <w:szCs w:val="32"/>
          <w:lang w:val="en-US" w:eastAsia="zh-CN"/>
        </w:rPr>
      </w:pPr>
    </w:p>
    <w:p>
      <w:pPr>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br w:type="page"/>
      </w:r>
    </w:p>
    <w:p>
      <w:pPr>
        <w:keepNext w:val="0"/>
        <w:keepLines w:val="0"/>
        <w:pageBreakBefore w:val="0"/>
        <w:kinsoku/>
        <w:wordWrap/>
        <w:overflowPunct/>
        <w:topLinePunct w:val="0"/>
        <w:autoSpaceDE/>
        <w:autoSpaceDN/>
        <w:bidi w:val="0"/>
        <w:adjustRightInd w:val="0"/>
        <w:snapToGrid/>
        <w:spacing w:line="540" w:lineRule="exact"/>
        <w:ind w:right="-210" w:rightChars="-100"/>
        <w:jc w:val="left"/>
        <w:textAlignment w:val="auto"/>
        <w:outlineLvl w:val="1"/>
        <w:rPr>
          <w:rFonts w:hint="eastAsia" w:ascii="黑体" w:hAnsi="黑体" w:eastAsia="黑体" w:cs="黑体"/>
          <w:bCs/>
          <w:kern w:val="0"/>
          <w:sz w:val="32"/>
          <w:szCs w:val="32"/>
          <w:lang w:val="en-US" w:eastAsia="zh-CN"/>
        </w:rPr>
      </w:pPr>
      <w:r>
        <w:rPr>
          <w:rFonts w:hint="eastAsia" w:ascii="黑体" w:hAnsi="黑体" w:eastAsia="黑体" w:cs="黑体"/>
          <w:bCs/>
          <w:kern w:val="0"/>
          <w:sz w:val="32"/>
          <w:szCs w:val="32"/>
          <w:lang w:eastAsia="zh-CN"/>
        </w:rPr>
        <w:t>附件</w:t>
      </w:r>
      <w:r>
        <w:rPr>
          <w:rFonts w:hint="eastAsia" w:ascii="黑体" w:hAnsi="黑体" w:eastAsia="黑体" w:cs="黑体"/>
          <w:bCs/>
          <w:kern w:val="0"/>
          <w:sz w:val="32"/>
          <w:szCs w:val="32"/>
          <w:lang w:val="en-US" w:eastAsia="zh-CN"/>
        </w:rPr>
        <w:t>1</w:t>
      </w:r>
    </w:p>
    <w:p>
      <w:pPr>
        <w:keepNext w:val="0"/>
        <w:keepLines w:val="0"/>
        <w:pageBreakBefore w:val="0"/>
        <w:kinsoku/>
        <w:wordWrap/>
        <w:overflowPunct/>
        <w:topLinePunct w:val="0"/>
        <w:autoSpaceDE/>
        <w:autoSpaceDN/>
        <w:bidi w:val="0"/>
        <w:adjustRightInd w:val="0"/>
        <w:snapToGrid/>
        <w:spacing w:line="540" w:lineRule="exact"/>
        <w:ind w:right="-210" w:rightChars="-100"/>
        <w:jc w:val="center"/>
        <w:textAlignment w:val="auto"/>
        <w:outlineLvl w:val="1"/>
        <w:rPr>
          <w:rFonts w:hint="eastAsia" w:ascii="方正小标宋简体" w:hAnsi="宋体" w:eastAsia="方正小标宋简体" w:cs="宋体"/>
          <w:bCs/>
          <w:kern w:val="0"/>
          <w:sz w:val="44"/>
          <w:szCs w:val="44"/>
        </w:rPr>
      </w:pPr>
    </w:p>
    <w:p>
      <w:pPr>
        <w:keepNext w:val="0"/>
        <w:keepLines w:val="0"/>
        <w:pageBreakBefore w:val="0"/>
        <w:kinsoku/>
        <w:wordWrap/>
        <w:overflowPunct/>
        <w:topLinePunct w:val="0"/>
        <w:autoSpaceDE/>
        <w:autoSpaceDN/>
        <w:bidi w:val="0"/>
        <w:adjustRightInd w:val="0"/>
        <w:snapToGrid/>
        <w:spacing w:line="540" w:lineRule="exact"/>
        <w:ind w:right="-210" w:rightChars="-100"/>
        <w:jc w:val="center"/>
        <w:textAlignment w:val="auto"/>
        <w:outlineLvl w:val="1"/>
        <w:rPr>
          <w:rFonts w:hint="eastAsia" w:ascii="方正小标宋简体" w:hAnsi="宋体" w:eastAsia="方正小标宋简体" w:cs="宋体"/>
          <w:bCs/>
          <w:spacing w:val="-8"/>
          <w:kern w:val="0"/>
          <w:sz w:val="44"/>
          <w:szCs w:val="44"/>
        </w:rPr>
      </w:pPr>
      <w:r>
        <w:rPr>
          <w:rFonts w:hint="eastAsia" w:ascii="方正小标宋简体" w:hAnsi="宋体" w:eastAsia="方正小标宋简体" w:cs="宋体"/>
          <w:bCs/>
          <w:kern w:val="0"/>
          <w:sz w:val="44"/>
          <w:szCs w:val="44"/>
        </w:rPr>
        <w:t>202</w:t>
      </w:r>
      <w:r>
        <w:rPr>
          <w:rFonts w:hint="eastAsia" w:ascii="方正小标宋简体" w:hAnsi="宋体" w:eastAsia="方正小标宋简体" w:cs="宋体"/>
          <w:bCs/>
          <w:kern w:val="0"/>
          <w:sz w:val="44"/>
          <w:szCs w:val="44"/>
          <w:lang w:val="en-US" w:eastAsia="zh-CN"/>
        </w:rPr>
        <w:t>2</w:t>
      </w:r>
      <w:r>
        <w:rPr>
          <w:rFonts w:hint="eastAsia" w:ascii="方正小标宋简体" w:hAnsi="宋体" w:eastAsia="方正小标宋简体" w:cs="宋体"/>
          <w:bCs/>
          <w:kern w:val="0"/>
          <w:sz w:val="44"/>
          <w:szCs w:val="44"/>
        </w:rPr>
        <w:t>年</w:t>
      </w:r>
      <w:r>
        <w:rPr>
          <w:rFonts w:hint="eastAsia" w:ascii="方正小标宋简体" w:hAnsi="宋体" w:eastAsia="方正小标宋简体" w:cs="宋体"/>
          <w:bCs/>
          <w:kern w:val="0"/>
          <w:sz w:val="44"/>
          <w:szCs w:val="44"/>
          <w:lang w:eastAsia="zh-CN"/>
        </w:rPr>
        <w:t>度上海市</w:t>
      </w:r>
      <w:r>
        <w:rPr>
          <w:rFonts w:hint="eastAsia" w:ascii="方正小标宋简体" w:hAnsi="宋体" w:eastAsia="方正小标宋简体" w:cs="宋体"/>
          <w:bCs/>
          <w:kern w:val="0"/>
          <w:sz w:val="44"/>
          <w:szCs w:val="44"/>
        </w:rPr>
        <w:t>崇明</w:t>
      </w:r>
      <w:r>
        <w:rPr>
          <w:rFonts w:hint="eastAsia" w:ascii="方正小标宋简体" w:hAnsi="宋体" w:eastAsia="方正小标宋简体" w:cs="宋体"/>
          <w:bCs/>
          <w:spacing w:val="-8"/>
          <w:kern w:val="0"/>
          <w:sz w:val="44"/>
          <w:szCs w:val="44"/>
        </w:rPr>
        <w:t>区人民政府</w:t>
      </w:r>
    </w:p>
    <w:p>
      <w:pPr>
        <w:keepNext w:val="0"/>
        <w:keepLines w:val="0"/>
        <w:pageBreakBefore w:val="0"/>
        <w:kinsoku/>
        <w:wordWrap/>
        <w:overflowPunct/>
        <w:topLinePunct w:val="0"/>
        <w:autoSpaceDE/>
        <w:autoSpaceDN/>
        <w:bidi w:val="0"/>
        <w:adjustRightInd w:val="0"/>
        <w:snapToGrid/>
        <w:spacing w:line="540" w:lineRule="exact"/>
        <w:ind w:right="-210" w:rightChars="-100"/>
        <w:jc w:val="center"/>
        <w:textAlignment w:val="auto"/>
        <w:outlineLvl w:val="1"/>
        <w:rPr>
          <w:rFonts w:hint="eastAsia" w:ascii="方正小标宋简体" w:hAnsi="宋体" w:eastAsia="方正小标宋简体" w:cs="宋体"/>
          <w:bCs/>
          <w:spacing w:val="-8"/>
          <w:kern w:val="0"/>
          <w:sz w:val="44"/>
          <w:szCs w:val="44"/>
        </w:rPr>
      </w:pPr>
      <w:r>
        <w:rPr>
          <w:rFonts w:hint="eastAsia" w:ascii="方正小标宋简体" w:hAnsi="宋体" w:eastAsia="方正小标宋简体" w:cs="宋体"/>
          <w:bCs/>
          <w:spacing w:val="-8"/>
          <w:kern w:val="0"/>
          <w:sz w:val="44"/>
          <w:szCs w:val="44"/>
        </w:rPr>
        <w:t>重大行政决策事项目录</w:t>
      </w:r>
    </w:p>
    <w:p>
      <w:pPr>
        <w:keepNext w:val="0"/>
        <w:keepLines w:val="0"/>
        <w:pageBreakBefore w:val="0"/>
        <w:kinsoku/>
        <w:wordWrap/>
        <w:overflowPunct/>
        <w:topLinePunct w:val="0"/>
        <w:autoSpaceDE/>
        <w:autoSpaceDN/>
        <w:bidi w:val="0"/>
        <w:adjustRightInd w:val="0"/>
        <w:snapToGrid/>
        <w:spacing w:line="540" w:lineRule="exact"/>
        <w:ind w:right="-210" w:rightChars="-100"/>
        <w:jc w:val="center"/>
        <w:textAlignment w:val="auto"/>
        <w:outlineLvl w:val="1"/>
        <w:rPr>
          <w:rFonts w:hint="eastAsia" w:ascii="方正小标宋简体" w:hAnsi="宋体" w:eastAsia="方正小标宋简体" w:cs="宋体"/>
          <w:bCs/>
          <w:spacing w:val="-8"/>
          <w:kern w:val="0"/>
          <w:sz w:val="44"/>
          <w:szCs w:val="44"/>
        </w:rPr>
      </w:pPr>
    </w:p>
    <w:tbl>
      <w:tblPr>
        <w:tblStyle w:val="4"/>
        <w:tblpPr w:leftFromText="180" w:rightFromText="180" w:vertAnchor="text" w:horzAnchor="page" w:tblpX="1040" w:tblpY="197"/>
        <w:tblOverlap w:val="never"/>
        <w:tblW w:w="10113" w:type="dxa"/>
        <w:tblInd w:w="0" w:type="dxa"/>
        <w:tblLayout w:type="fixed"/>
        <w:tblCellMar>
          <w:top w:w="15" w:type="dxa"/>
          <w:left w:w="15" w:type="dxa"/>
          <w:bottom w:w="15" w:type="dxa"/>
          <w:right w:w="15" w:type="dxa"/>
        </w:tblCellMar>
      </w:tblPr>
      <w:tblGrid>
        <w:gridCol w:w="820"/>
        <w:gridCol w:w="5208"/>
        <w:gridCol w:w="2183"/>
        <w:gridCol w:w="1902"/>
      </w:tblGrid>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ascii="黑体" w:hAnsi="黑体" w:eastAsia="黑体" w:cs="黑体"/>
                <w:kern w:val="0"/>
                <w:sz w:val="30"/>
                <w:szCs w:val="30"/>
              </w:rPr>
            </w:pPr>
            <w:r>
              <w:rPr>
                <w:rFonts w:hint="eastAsia" w:ascii="黑体" w:hAnsi="黑体" w:eastAsia="黑体" w:cs="黑体"/>
                <w:kern w:val="0"/>
                <w:sz w:val="30"/>
                <w:szCs w:val="30"/>
              </w:rPr>
              <w:t>序号</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ascii="黑体" w:hAnsi="黑体" w:eastAsia="黑体" w:cs="黑体"/>
                <w:kern w:val="0"/>
                <w:sz w:val="30"/>
                <w:szCs w:val="30"/>
              </w:rPr>
            </w:pPr>
            <w:r>
              <w:rPr>
                <w:rFonts w:hint="eastAsia" w:ascii="黑体" w:hAnsi="黑体" w:eastAsia="黑体" w:cs="黑体"/>
                <w:kern w:val="0"/>
                <w:sz w:val="30"/>
                <w:szCs w:val="30"/>
              </w:rPr>
              <w:t>决策事项名称</w:t>
            </w:r>
          </w:p>
        </w:tc>
        <w:tc>
          <w:tcPr>
            <w:tcW w:w="2183" w:type="dxa"/>
            <w:tcBorders>
              <w:top w:val="single" w:color="auto" w:sz="8" w:space="0"/>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ascii="黑体" w:hAnsi="黑体" w:eastAsia="黑体" w:cs="黑体"/>
                <w:kern w:val="0"/>
                <w:sz w:val="30"/>
                <w:szCs w:val="30"/>
              </w:rPr>
            </w:pPr>
            <w:r>
              <w:rPr>
                <w:rFonts w:hint="eastAsia" w:ascii="黑体" w:hAnsi="黑体" w:eastAsia="黑体" w:cs="黑体"/>
                <w:kern w:val="0"/>
                <w:sz w:val="30"/>
                <w:szCs w:val="30"/>
              </w:rPr>
              <w:t>承办单位</w:t>
            </w: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ascii="黑体" w:hAnsi="黑体" w:eastAsia="黑体" w:cs="黑体"/>
                <w:kern w:val="0"/>
                <w:sz w:val="30"/>
                <w:szCs w:val="30"/>
              </w:rPr>
            </w:pPr>
            <w:r>
              <w:rPr>
                <w:rFonts w:hint="eastAsia" w:ascii="黑体" w:hAnsi="黑体" w:eastAsia="黑体" w:cs="黑体"/>
                <w:kern w:val="0"/>
                <w:sz w:val="30"/>
                <w:szCs w:val="30"/>
              </w:rPr>
              <w:t>预计完成时间</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1</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崇明区教育综合改革示范项目实施方案</w:t>
            </w:r>
          </w:p>
        </w:tc>
        <w:tc>
          <w:tcPr>
            <w:tcW w:w="2183" w:type="dxa"/>
            <w:vMerge w:val="restart"/>
            <w:tcBorders>
              <w:top w:val="single" w:color="auto" w:sz="8" w:space="0"/>
              <w:left w:val="nil"/>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区教育局</w:t>
            </w: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第二季度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2</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崇明区加强保育员队伍建设的实施意见</w:t>
            </w:r>
          </w:p>
        </w:tc>
        <w:tc>
          <w:tcPr>
            <w:tcW w:w="2183" w:type="dxa"/>
            <w:vMerge w:val="continue"/>
            <w:tcBorders>
              <w:left w:val="nil"/>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rPr>
            </w:pP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第三季度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3</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崇明区深化教师人事管理制度改革实施意见</w:t>
            </w:r>
          </w:p>
        </w:tc>
        <w:tc>
          <w:tcPr>
            <w:tcW w:w="2183" w:type="dxa"/>
            <w:vMerge w:val="continue"/>
            <w:tcBorders>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rPr>
            </w:pP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第四季度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4</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崇明区产业项目生态环境准入清单</w:t>
            </w:r>
          </w:p>
        </w:tc>
        <w:tc>
          <w:tcPr>
            <w:tcW w:w="2183" w:type="dxa"/>
            <w:tcBorders>
              <w:top w:val="single" w:color="auto" w:sz="8" w:space="0"/>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区生态环境局</w:t>
            </w: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第三季度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5</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崇明区公共停车设施建设规划</w:t>
            </w:r>
          </w:p>
        </w:tc>
        <w:tc>
          <w:tcPr>
            <w:tcW w:w="2183" w:type="dxa"/>
            <w:tcBorders>
              <w:top w:val="single" w:color="auto" w:sz="8" w:space="0"/>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区交通委</w:t>
            </w: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第二季度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6</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val="en-US" w:eastAsia="zh-CN"/>
              </w:rPr>
              <w:t>崇明区促进都市现代绿色农业加快发展政策意见</w:t>
            </w:r>
          </w:p>
        </w:tc>
        <w:tc>
          <w:tcPr>
            <w:tcW w:w="2183" w:type="dxa"/>
            <w:tcBorders>
              <w:top w:val="single" w:color="auto" w:sz="8" w:space="0"/>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区农业农村委</w:t>
            </w: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第四季度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7</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崇明区不可移动文物管理办法</w:t>
            </w:r>
          </w:p>
        </w:tc>
        <w:tc>
          <w:tcPr>
            <w:tcW w:w="2183" w:type="dxa"/>
            <w:vMerge w:val="restart"/>
            <w:tcBorders>
              <w:top w:val="single" w:color="auto" w:sz="8" w:space="0"/>
              <w:left w:val="nil"/>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区文化旅游局</w:t>
            </w: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第三季度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8</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崇明民宿发展规划</w:t>
            </w:r>
          </w:p>
        </w:tc>
        <w:tc>
          <w:tcPr>
            <w:tcW w:w="2183" w:type="dxa"/>
            <w:vMerge w:val="continue"/>
            <w:tcBorders>
              <w:left w:val="nil"/>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第四季度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9</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关于促进崇明民宿高质量发展实施意见</w:t>
            </w:r>
          </w:p>
        </w:tc>
        <w:tc>
          <w:tcPr>
            <w:tcW w:w="2183" w:type="dxa"/>
            <w:vMerge w:val="continue"/>
            <w:tcBorders>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第四季度</w:t>
            </w:r>
          </w:p>
        </w:tc>
      </w:tr>
      <w:tr>
        <w:tblPrEx>
          <w:tblCellMar>
            <w:top w:w="15" w:type="dxa"/>
            <w:left w:w="15" w:type="dxa"/>
            <w:bottom w:w="15" w:type="dxa"/>
            <w:right w:w="15" w:type="dxa"/>
          </w:tblCellMar>
        </w:tblPrEx>
        <w:trPr>
          <w:trHeight w:val="794" w:hRule="exact"/>
        </w:trPr>
        <w:tc>
          <w:tcPr>
            <w:tcW w:w="820"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10</w:t>
            </w:r>
          </w:p>
        </w:tc>
        <w:tc>
          <w:tcPr>
            <w:tcW w:w="5208" w:type="dxa"/>
            <w:tcBorders>
              <w:top w:val="single" w:color="auto" w:sz="8" w:space="0"/>
              <w:left w:val="nil"/>
              <w:bottom w:val="single" w:color="auto" w:sz="8" w:space="0"/>
              <w:right w:val="single" w:color="auto" w:sz="8"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both"/>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上海市崇明区区长质量奖管理办法</w:t>
            </w:r>
          </w:p>
        </w:tc>
        <w:tc>
          <w:tcPr>
            <w:tcW w:w="2183" w:type="dxa"/>
            <w:tcBorders>
              <w:top w:val="single" w:color="auto" w:sz="8" w:space="0"/>
              <w:left w:val="nil"/>
              <w:bottom w:val="single" w:color="auto" w:sz="8" w:space="0"/>
              <w:right w:val="single" w:color="auto" w:sz="4" w:space="0"/>
            </w:tcBorders>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lang w:eastAsia="zh-CN"/>
              </w:rPr>
              <w:t>区市场监管局</w:t>
            </w:r>
          </w:p>
        </w:tc>
        <w:tc>
          <w:tcPr>
            <w:tcW w:w="1902" w:type="dxa"/>
            <w:tcBorders>
              <w:top w:val="single" w:color="auto" w:sz="8" w:space="0"/>
              <w:left w:val="single" w:color="auto" w:sz="4" w:space="0"/>
              <w:bottom w:val="single" w:color="auto" w:sz="8" w:space="0"/>
              <w:right w:val="single" w:color="auto" w:sz="8"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仿宋_GB2312" w:hAnsi="仿宋_GB2312" w:eastAsia="仿宋_GB2312" w:cs="仿宋_GB2312"/>
                <w:kern w:val="0"/>
                <w:sz w:val="28"/>
                <w:szCs w:val="28"/>
                <w:lang w:val="en-US" w:eastAsia="zh-CN"/>
              </w:rPr>
            </w:pPr>
            <w:r>
              <w:rPr>
                <w:rFonts w:hint="eastAsia" w:ascii="仿宋_GB2312" w:hAnsi="仿宋_GB2312" w:eastAsia="仿宋_GB2312" w:cs="仿宋_GB2312"/>
                <w:kern w:val="0"/>
                <w:sz w:val="28"/>
                <w:szCs w:val="28"/>
                <w:lang w:val="en-US" w:eastAsia="zh-CN"/>
              </w:rPr>
              <w:t>第二季度</w:t>
            </w:r>
          </w:p>
        </w:tc>
      </w:tr>
    </w:tbl>
    <w:p>
      <w:pPr>
        <w:jc w:val="left"/>
        <w:rPr>
          <w:rFonts w:hint="default" w:ascii="仿宋_GB2312" w:hAnsi="仿宋_GB2312" w:eastAsia="仿宋_GB2312" w:cs="仿宋_GB2312"/>
          <w:sz w:val="32"/>
          <w:szCs w:val="32"/>
          <w:lang w:val="en-US" w:eastAsia="zh-CN"/>
        </w:rPr>
      </w:pPr>
    </w:p>
    <w:p>
      <w:pP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关于《*********（草案）》的起草说明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（参考模板）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宋体" w:hAnsi="宋体"/>
          <w:b/>
          <w:sz w:val="44"/>
          <w:szCs w:val="44"/>
        </w:rPr>
      </w:pP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黑体" w:hAnsi="黑体" w:eastAsia="黑体" w:cs="黑体"/>
          <w:b w:val="0"/>
          <w:bCs/>
          <w:sz w:val="32"/>
          <w:szCs w:val="32"/>
        </w:rPr>
      </w:pPr>
      <w:r>
        <w:rPr>
          <w:rFonts w:hint="eastAsia" w:ascii="黑体" w:hAnsi="黑体" w:eastAsia="黑体"/>
          <w:b w:val="0"/>
          <w:bCs/>
          <w:sz w:val="32"/>
          <w:szCs w:val="32"/>
        </w:rPr>
        <w:t>一</w:t>
      </w:r>
      <w:r>
        <w:rPr>
          <w:rFonts w:hint="eastAsia" w:ascii="黑体" w:hAnsi="黑体" w:eastAsia="黑体" w:cs="黑体"/>
          <w:b w:val="0"/>
          <w:bCs/>
          <w:sz w:val="32"/>
          <w:szCs w:val="32"/>
        </w:rPr>
        <w:t>、制定《*********</w:t>
      </w:r>
      <w:r>
        <w:rPr>
          <w:rFonts w:hint="eastAsia" w:ascii="黑体" w:hAnsi="黑体" w:eastAsia="黑体" w:cs="黑体"/>
          <w:b w:val="0"/>
          <w:bCs/>
          <w:sz w:val="32"/>
          <w:szCs w:val="32"/>
          <w:lang w:eastAsia="zh-CN"/>
        </w:rPr>
        <w:t>（</w:t>
      </w:r>
      <w:r>
        <w:rPr>
          <w:rFonts w:hint="eastAsia" w:ascii="黑体" w:hAnsi="黑体" w:eastAsia="黑体" w:cs="黑体"/>
          <w:b w:val="0"/>
          <w:bCs/>
          <w:sz w:val="32"/>
          <w:szCs w:val="32"/>
        </w:rPr>
        <w:t>草案）》的必要性</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 w:hAnsi="仿宋" w:eastAsia="仿宋"/>
          <w:sz w:val="32"/>
          <w:szCs w:val="32"/>
        </w:rPr>
        <w:t xml:space="preserve">    </w:t>
      </w:r>
      <w:r>
        <w:rPr>
          <w:rFonts w:hint="eastAsia" w:ascii="仿宋_GB2312" w:hAnsi="仿宋_GB2312" w:eastAsia="仿宋_GB2312" w:cs="仿宋_GB2312"/>
          <w:sz w:val="32"/>
          <w:szCs w:val="32"/>
        </w:rPr>
        <w:t>包括制定背景、政策要求、实践需要等方面。</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ascii="黑体" w:hAnsi="黑体" w:eastAsia="黑体"/>
          <w:b w:val="0"/>
          <w:bCs/>
          <w:sz w:val="32"/>
          <w:szCs w:val="32"/>
        </w:rPr>
      </w:pPr>
      <w:r>
        <w:rPr>
          <w:rFonts w:hint="eastAsia" w:ascii="黑体" w:hAnsi="黑体" w:eastAsia="黑体"/>
          <w:b w:val="0"/>
          <w:bCs/>
          <w:sz w:val="32"/>
          <w:szCs w:val="32"/>
        </w:rPr>
        <w:t>二、《*********（草案）》的起草过程</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 w:hAnsi="仿宋" w:eastAsia="仿宋"/>
          <w:sz w:val="32"/>
          <w:szCs w:val="32"/>
        </w:rPr>
        <w:t xml:space="preserve">   </w:t>
      </w:r>
      <w:r>
        <w:rPr>
          <w:rFonts w:hint="eastAsia" w:ascii="仿宋_GB2312" w:hAnsi="仿宋_GB2312" w:eastAsia="仿宋_GB2312" w:cs="仿宋_GB2312"/>
          <w:sz w:val="32"/>
          <w:szCs w:val="32"/>
        </w:rPr>
        <w:t xml:space="preserve"> 包括组织起草、</w:t>
      </w:r>
      <w:r>
        <w:rPr>
          <w:rFonts w:hint="eastAsia" w:ascii="仿宋_GB2312" w:hAnsi="仿宋_GB2312" w:eastAsia="仿宋_GB2312" w:cs="仿宋_GB2312"/>
          <w:sz w:val="32"/>
          <w:szCs w:val="32"/>
          <w:lang w:eastAsia="zh-CN"/>
        </w:rPr>
        <w:t>调查研究</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协商</w:t>
      </w:r>
      <w:r>
        <w:rPr>
          <w:rFonts w:hint="eastAsia" w:ascii="仿宋_GB2312" w:hAnsi="仿宋_GB2312" w:eastAsia="仿宋_GB2312" w:cs="仿宋_GB2312"/>
          <w:sz w:val="32"/>
          <w:szCs w:val="32"/>
        </w:rPr>
        <w:t>协调等情况。</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ascii="黑体" w:hAnsi="黑体" w:eastAsia="黑体"/>
          <w:b w:val="0"/>
          <w:bCs/>
          <w:sz w:val="32"/>
          <w:szCs w:val="32"/>
        </w:rPr>
      </w:pPr>
      <w:r>
        <w:rPr>
          <w:rFonts w:hint="eastAsia" w:ascii="黑体" w:hAnsi="黑体" w:eastAsia="黑体"/>
          <w:b w:val="0"/>
          <w:bCs/>
          <w:sz w:val="32"/>
          <w:szCs w:val="32"/>
        </w:rPr>
        <w:t>三、《*********（草案）》的主要内容</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楷体_GB2312" w:hAnsi="仿宋" w:eastAsia="楷体_GB2312"/>
          <w:b/>
          <w:sz w:val="32"/>
          <w:szCs w:val="32"/>
        </w:rPr>
        <w:t xml:space="preserve">    </w:t>
      </w:r>
      <w:r>
        <w:rPr>
          <w:rFonts w:hint="eastAsia" w:ascii="仿宋_GB2312" w:hAnsi="仿宋_GB2312" w:eastAsia="仿宋_GB2312" w:cs="仿宋_GB2312"/>
          <w:sz w:val="32"/>
          <w:szCs w:val="32"/>
        </w:rPr>
        <w:t>包括草案框架体系、所要解决的问题、拟采取的措施、将要实施的制度等内容。</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ascii="黑体" w:hAnsi="黑体" w:eastAsia="黑体"/>
          <w:b w:val="0"/>
          <w:bCs/>
          <w:sz w:val="32"/>
          <w:szCs w:val="32"/>
        </w:rPr>
      </w:pPr>
      <w:r>
        <w:rPr>
          <w:rFonts w:hint="eastAsia" w:ascii="黑体" w:hAnsi="黑体" w:eastAsia="黑体"/>
          <w:b w:val="0"/>
          <w:bCs/>
          <w:sz w:val="32"/>
          <w:szCs w:val="32"/>
        </w:rPr>
        <w:t>四、需要说明的问题</w:t>
      </w:r>
    </w:p>
    <w:p>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其他需要特别说明的情况</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5446" w:firstLineChars="1702"/>
        <w:jc w:val="left"/>
        <w:textAlignment w:val="auto"/>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5440" w:firstLineChars="1700"/>
        <w:jc w:val="left"/>
        <w:textAlignment w:val="auto"/>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val="0"/>
          <w:bCs/>
          <w:sz w:val="32"/>
          <w:szCs w:val="32"/>
          <w:lang w:eastAsia="zh-CN"/>
        </w:rPr>
        <w:t>单位（盖章）</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lang w:val="en-US" w:eastAsia="zh-CN"/>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lang w:eastAsia="zh-CN"/>
        </w:rPr>
        <w:t>年</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月</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日</w:t>
      </w:r>
      <w:r>
        <w:rPr>
          <w:rFonts w:hint="eastAsia" w:ascii="仿宋" w:hAnsi="仿宋" w:eastAsia="仿宋"/>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sz w:val="32"/>
          <w:szCs w:val="32"/>
          <w:lang w:val="en-US" w:eastAsia="zh-CN"/>
        </w:rPr>
      </w:pPr>
    </w:p>
    <w:p>
      <w:pP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br w:type="page"/>
      </w:r>
    </w:p>
    <w:p>
      <w:pP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附件3</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方正小标宋简体" w:hAnsi="方正小标宋简体" w:eastAsia="方正小标宋简体" w:cs="方正小标宋简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关于《*********（草案）》的制定依据</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（参考模板）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宋体" w:hAnsi="宋体"/>
          <w:b/>
          <w:sz w:val="44"/>
          <w:szCs w:val="44"/>
        </w:rPr>
      </w:pPr>
    </w:p>
    <w:tbl>
      <w:tblPr>
        <w:tblStyle w:val="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9"/>
        <w:gridCol w:w="4813"/>
        <w:gridCol w:w="1590"/>
        <w:gridCol w:w="16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noWrap w:val="0"/>
            <w:vAlign w:val="top"/>
          </w:tcPr>
          <w:p>
            <w:pPr>
              <w:jc w:val="center"/>
              <w:rPr>
                <w:rFonts w:ascii="黑体" w:hAnsi="黑体" w:eastAsia="黑体"/>
                <w:sz w:val="32"/>
                <w:szCs w:val="32"/>
              </w:rPr>
            </w:pPr>
            <w:r>
              <w:rPr>
                <w:rFonts w:hint="eastAsia" w:ascii="黑体" w:hAnsi="黑体" w:eastAsia="黑体"/>
                <w:sz w:val="32"/>
                <w:szCs w:val="32"/>
              </w:rPr>
              <w:t>序号</w:t>
            </w:r>
          </w:p>
        </w:tc>
        <w:tc>
          <w:tcPr>
            <w:tcW w:w="4813" w:type="dxa"/>
            <w:noWrap w:val="0"/>
            <w:vAlign w:val="top"/>
          </w:tcPr>
          <w:p>
            <w:pPr>
              <w:jc w:val="center"/>
              <w:rPr>
                <w:rFonts w:ascii="黑体" w:hAnsi="黑体" w:eastAsia="黑体"/>
                <w:sz w:val="32"/>
                <w:szCs w:val="32"/>
              </w:rPr>
            </w:pPr>
            <w:r>
              <w:rPr>
                <w:rFonts w:hint="eastAsia" w:ascii="黑体" w:hAnsi="黑体" w:eastAsia="黑体"/>
                <w:sz w:val="32"/>
                <w:szCs w:val="32"/>
              </w:rPr>
              <w:t>标  题</w:t>
            </w:r>
          </w:p>
        </w:tc>
        <w:tc>
          <w:tcPr>
            <w:tcW w:w="1590" w:type="dxa"/>
            <w:noWrap w:val="0"/>
            <w:vAlign w:val="top"/>
          </w:tcPr>
          <w:p>
            <w:pPr>
              <w:jc w:val="center"/>
              <w:rPr>
                <w:rFonts w:ascii="黑体" w:hAnsi="黑体" w:eastAsia="黑体"/>
                <w:sz w:val="32"/>
                <w:szCs w:val="32"/>
              </w:rPr>
            </w:pPr>
            <w:r>
              <w:rPr>
                <w:rFonts w:hint="eastAsia" w:ascii="黑体" w:hAnsi="黑体" w:eastAsia="黑体"/>
                <w:sz w:val="32"/>
                <w:szCs w:val="32"/>
              </w:rPr>
              <w:t>制定机关</w:t>
            </w:r>
          </w:p>
        </w:tc>
        <w:tc>
          <w:tcPr>
            <w:tcW w:w="1605" w:type="dxa"/>
            <w:noWrap w:val="0"/>
            <w:vAlign w:val="top"/>
          </w:tcPr>
          <w:p>
            <w:pPr>
              <w:jc w:val="center"/>
              <w:rPr>
                <w:rFonts w:ascii="黑体" w:hAnsi="黑体" w:eastAsia="黑体"/>
                <w:sz w:val="32"/>
                <w:szCs w:val="32"/>
              </w:rPr>
            </w:pPr>
            <w:r>
              <w:rPr>
                <w:rFonts w:hint="eastAsia" w:ascii="黑体" w:hAnsi="黑体" w:eastAsia="黑体"/>
                <w:sz w:val="32"/>
                <w:szCs w:val="32"/>
              </w:rPr>
              <w:t>发文文号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noWrap w:val="0"/>
            <w:vAlign w:val="top"/>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p>
        </w:tc>
        <w:tc>
          <w:tcPr>
            <w:tcW w:w="4813" w:type="dxa"/>
            <w:noWrap w:val="0"/>
            <w:vAlign w:val="top"/>
          </w:tcPr>
          <w:p>
            <w:pPr>
              <w:jc w:val="center"/>
              <w:rPr>
                <w:rFonts w:hint="eastAsia" w:ascii="仿宋_GB2312" w:hAnsi="仿宋_GB2312" w:eastAsia="仿宋_GB2312" w:cs="仿宋_GB2312"/>
                <w:sz w:val="32"/>
                <w:szCs w:val="32"/>
              </w:rPr>
            </w:pPr>
          </w:p>
        </w:tc>
        <w:tc>
          <w:tcPr>
            <w:tcW w:w="1590" w:type="dxa"/>
            <w:noWrap w:val="0"/>
            <w:vAlign w:val="top"/>
          </w:tcPr>
          <w:p>
            <w:pPr>
              <w:jc w:val="center"/>
              <w:rPr>
                <w:rFonts w:hint="eastAsia" w:ascii="仿宋_GB2312" w:hAnsi="仿宋_GB2312" w:eastAsia="仿宋_GB2312" w:cs="仿宋_GB2312"/>
                <w:sz w:val="32"/>
                <w:szCs w:val="32"/>
              </w:rPr>
            </w:pPr>
          </w:p>
        </w:tc>
        <w:tc>
          <w:tcPr>
            <w:tcW w:w="1605" w:type="dxa"/>
            <w:noWrap w:val="0"/>
            <w:vAlign w:val="top"/>
          </w:tcPr>
          <w:p>
            <w:pPr>
              <w:jc w:val="center"/>
              <w:rPr>
                <w:rFonts w:hint="eastAsia" w:ascii="仿宋_GB2312" w:hAnsi="仿宋_GB2312" w:eastAsia="仿宋_GB2312" w:cs="仿宋_GB2312"/>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noWrap w:val="0"/>
            <w:vAlign w:val="top"/>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p>
        </w:tc>
        <w:tc>
          <w:tcPr>
            <w:tcW w:w="4813" w:type="dxa"/>
            <w:noWrap w:val="0"/>
            <w:vAlign w:val="top"/>
          </w:tcPr>
          <w:p>
            <w:pPr>
              <w:jc w:val="center"/>
              <w:rPr>
                <w:rFonts w:hint="eastAsia" w:ascii="仿宋_GB2312" w:hAnsi="仿宋_GB2312" w:eastAsia="仿宋_GB2312" w:cs="仿宋_GB2312"/>
                <w:sz w:val="32"/>
                <w:szCs w:val="32"/>
              </w:rPr>
            </w:pPr>
          </w:p>
        </w:tc>
        <w:tc>
          <w:tcPr>
            <w:tcW w:w="1590" w:type="dxa"/>
            <w:noWrap w:val="0"/>
            <w:vAlign w:val="top"/>
          </w:tcPr>
          <w:p>
            <w:pPr>
              <w:jc w:val="center"/>
              <w:rPr>
                <w:rFonts w:hint="eastAsia" w:ascii="仿宋_GB2312" w:hAnsi="仿宋_GB2312" w:eastAsia="仿宋_GB2312" w:cs="仿宋_GB2312"/>
                <w:sz w:val="32"/>
                <w:szCs w:val="32"/>
              </w:rPr>
            </w:pPr>
          </w:p>
        </w:tc>
        <w:tc>
          <w:tcPr>
            <w:tcW w:w="1605" w:type="dxa"/>
            <w:noWrap w:val="0"/>
            <w:vAlign w:val="top"/>
          </w:tcPr>
          <w:p>
            <w:pPr>
              <w:jc w:val="center"/>
              <w:rPr>
                <w:rFonts w:hint="eastAsia" w:ascii="仿宋_GB2312" w:hAnsi="仿宋_GB2312" w:eastAsia="仿宋_GB2312" w:cs="仿宋_GB2312"/>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959" w:type="dxa"/>
            <w:noWrap w:val="0"/>
            <w:vAlign w:val="top"/>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p>
        </w:tc>
        <w:tc>
          <w:tcPr>
            <w:tcW w:w="4813" w:type="dxa"/>
            <w:noWrap w:val="0"/>
            <w:vAlign w:val="top"/>
          </w:tcPr>
          <w:p>
            <w:pPr>
              <w:jc w:val="center"/>
              <w:rPr>
                <w:rFonts w:hint="eastAsia" w:ascii="仿宋_GB2312" w:hAnsi="仿宋_GB2312" w:eastAsia="仿宋_GB2312" w:cs="仿宋_GB2312"/>
                <w:sz w:val="32"/>
                <w:szCs w:val="32"/>
              </w:rPr>
            </w:pPr>
          </w:p>
        </w:tc>
        <w:tc>
          <w:tcPr>
            <w:tcW w:w="1590" w:type="dxa"/>
            <w:noWrap w:val="0"/>
            <w:vAlign w:val="top"/>
          </w:tcPr>
          <w:p>
            <w:pPr>
              <w:jc w:val="center"/>
              <w:rPr>
                <w:rFonts w:hint="eastAsia" w:ascii="仿宋_GB2312" w:hAnsi="仿宋_GB2312" w:eastAsia="仿宋_GB2312" w:cs="仿宋_GB2312"/>
                <w:sz w:val="32"/>
                <w:szCs w:val="32"/>
              </w:rPr>
            </w:pPr>
          </w:p>
        </w:tc>
        <w:tc>
          <w:tcPr>
            <w:tcW w:w="1605" w:type="dxa"/>
            <w:noWrap w:val="0"/>
            <w:vAlign w:val="top"/>
          </w:tcPr>
          <w:p>
            <w:pPr>
              <w:jc w:val="center"/>
              <w:rPr>
                <w:rFonts w:hint="eastAsia" w:ascii="仿宋_GB2312" w:hAnsi="仿宋_GB2312" w:eastAsia="仿宋_GB2312" w:cs="仿宋_GB2312"/>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noWrap w:val="0"/>
            <w:vAlign w:val="top"/>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p>
        </w:tc>
        <w:tc>
          <w:tcPr>
            <w:tcW w:w="4813" w:type="dxa"/>
            <w:noWrap w:val="0"/>
            <w:vAlign w:val="top"/>
          </w:tcPr>
          <w:p>
            <w:pPr>
              <w:jc w:val="center"/>
              <w:rPr>
                <w:rFonts w:hint="eastAsia" w:ascii="仿宋_GB2312" w:hAnsi="仿宋_GB2312" w:eastAsia="仿宋_GB2312" w:cs="仿宋_GB2312"/>
                <w:sz w:val="32"/>
                <w:szCs w:val="32"/>
              </w:rPr>
            </w:pPr>
          </w:p>
        </w:tc>
        <w:tc>
          <w:tcPr>
            <w:tcW w:w="1590" w:type="dxa"/>
            <w:noWrap w:val="0"/>
            <w:vAlign w:val="top"/>
          </w:tcPr>
          <w:p>
            <w:pPr>
              <w:jc w:val="center"/>
              <w:rPr>
                <w:rFonts w:hint="eastAsia" w:ascii="仿宋_GB2312" w:hAnsi="仿宋_GB2312" w:eastAsia="仿宋_GB2312" w:cs="仿宋_GB2312"/>
                <w:sz w:val="32"/>
                <w:szCs w:val="32"/>
              </w:rPr>
            </w:pPr>
          </w:p>
        </w:tc>
        <w:tc>
          <w:tcPr>
            <w:tcW w:w="1605" w:type="dxa"/>
            <w:noWrap w:val="0"/>
            <w:vAlign w:val="top"/>
          </w:tcPr>
          <w:p>
            <w:pPr>
              <w:jc w:val="center"/>
              <w:rPr>
                <w:rFonts w:hint="eastAsia" w:ascii="仿宋_GB2312" w:hAnsi="仿宋_GB2312" w:eastAsia="仿宋_GB2312" w:cs="仿宋_GB2312"/>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noWrap w:val="0"/>
            <w:vAlign w:val="top"/>
          </w:tcPr>
          <w:p>
            <w:pPr>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w:t>
            </w:r>
          </w:p>
        </w:tc>
        <w:tc>
          <w:tcPr>
            <w:tcW w:w="4813" w:type="dxa"/>
            <w:noWrap w:val="0"/>
            <w:vAlign w:val="top"/>
          </w:tcPr>
          <w:p>
            <w:pPr>
              <w:jc w:val="center"/>
              <w:rPr>
                <w:rFonts w:hint="eastAsia" w:ascii="仿宋_GB2312" w:hAnsi="仿宋_GB2312" w:eastAsia="仿宋_GB2312" w:cs="仿宋_GB2312"/>
                <w:sz w:val="32"/>
                <w:szCs w:val="32"/>
              </w:rPr>
            </w:pPr>
          </w:p>
        </w:tc>
        <w:tc>
          <w:tcPr>
            <w:tcW w:w="1590" w:type="dxa"/>
            <w:noWrap w:val="0"/>
            <w:vAlign w:val="top"/>
          </w:tcPr>
          <w:p>
            <w:pPr>
              <w:jc w:val="center"/>
              <w:rPr>
                <w:rFonts w:hint="eastAsia" w:ascii="仿宋_GB2312" w:hAnsi="仿宋_GB2312" w:eastAsia="仿宋_GB2312" w:cs="仿宋_GB2312"/>
                <w:sz w:val="32"/>
                <w:szCs w:val="32"/>
              </w:rPr>
            </w:pPr>
          </w:p>
        </w:tc>
        <w:tc>
          <w:tcPr>
            <w:tcW w:w="1605" w:type="dxa"/>
            <w:noWrap w:val="0"/>
            <w:vAlign w:val="top"/>
          </w:tcPr>
          <w:p>
            <w:pPr>
              <w:jc w:val="center"/>
              <w:rPr>
                <w:rFonts w:hint="eastAsia" w:ascii="仿宋_GB2312" w:hAnsi="仿宋_GB2312" w:eastAsia="仿宋_GB2312" w:cs="仿宋_GB2312"/>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9" w:type="dxa"/>
            <w:noWrap w:val="0"/>
            <w:vAlign w:val="top"/>
          </w:tcPr>
          <w:p>
            <w:pPr>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w:t>
            </w:r>
          </w:p>
        </w:tc>
        <w:tc>
          <w:tcPr>
            <w:tcW w:w="4813" w:type="dxa"/>
            <w:noWrap w:val="0"/>
            <w:vAlign w:val="top"/>
          </w:tcPr>
          <w:p>
            <w:pPr>
              <w:jc w:val="center"/>
              <w:rPr>
                <w:rFonts w:hint="eastAsia" w:ascii="仿宋_GB2312" w:hAnsi="仿宋_GB2312" w:eastAsia="仿宋_GB2312" w:cs="仿宋_GB2312"/>
                <w:sz w:val="32"/>
                <w:szCs w:val="32"/>
              </w:rPr>
            </w:pPr>
          </w:p>
        </w:tc>
        <w:tc>
          <w:tcPr>
            <w:tcW w:w="1590" w:type="dxa"/>
            <w:noWrap w:val="0"/>
            <w:vAlign w:val="top"/>
          </w:tcPr>
          <w:p>
            <w:pPr>
              <w:jc w:val="center"/>
              <w:rPr>
                <w:rFonts w:hint="eastAsia" w:ascii="仿宋_GB2312" w:hAnsi="仿宋_GB2312" w:eastAsia="仿宋_GB2312" w:cs="仿宋_GB2312"/>
                <w:sz w:val="32"/>
                <w:szCs w:val="32"/>
              </w:rPr>
            </w:pPr>
          </w:p>
        </w:tc>
        <w:tc>
          <w:tcPr>
            <w:tcW w:w="1605" w:type="dxa"/>
            <w:noWrap w:val="0"/>
            <w:vAlign w:val="top"/>
          </w:tcPr>
          <w:p>
            <w:pPr>
              <w:jc w:val="center"/>
              <w:rPr>
                <w:rFonts w:hint="eastAsia" w:ascii="仿宋_GB2312" w:hAnsi="仿宋_GB2312" w:eastAsia="仿宋_GB2312" w:cs="仿宋_GB2312"/>
                <w:sz w:val="32"/>
                <w:szCs w:val="3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959" w:type="dxa"/>
            <w:noWrap w:val="0"/>
            <w:vAlign w:val="top"/>
          </w:tcPr>
          <w:p>
            <w:pPr>
              <w:jc w:val="cente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w:t>
            </w:r>
          </w:p>
        </w:tc>
        <w:tc>
          <w:tcPr>
            <w:tcW w:w="4813" w:type="dxa"/>
            <w:noWrap w:val="0"/>
            <w:vAlign w:val="top"/>
          </w:tcPr>
          <w:p>
            <w:pPr>
              <w:jc w:val="center"/>
              <w:rPr>
                <w:rFonts w:hint="eastAsia" w:ascii="仿宋_GB2312" w:hAnsi="仿宋_GB2312" w:eastAsia="仿宋_GB2312" w:cs="仿宋_GB2312"/>
                <w:sz w:val="32"/>
                <w:szCs w:val="32"/>
              </w:rPr>
            </w:pPr>
          </w:p>
        </w:tc>
        <w:tc>
          <w:tcPr>
            <w:tcW w:w="1590" w:type="dxa"/>
            <w:noWrap w:val="0"/>
            <w:vAlign w:val="top"/>
          </w:tcPr>
          <w:p>
            <w:pPr>
              <w:jc w:val="center"/>
              <w:rPr>
                <w:rFonts w:hint="eastAsia" w:ascii="仿宋_GB2312" w:hAnsi="仿宋_GB2312" w:eastAsia="仿宋_GB2312" w:cs="仿宋_GB2312"/>
                <w:sz w:val="32"/>
                <w:szCs w:val="32"/>
              </w:rPr>
            </w:pPr>
          </w:p>
        </w:tc>
        <w:tc>
          <w:tcPr>
            <w:tcW w:w="1605" w:type="dxa"/>
            <w:noWrap w:val="0"/>
            <w:vAlign w:val="top"/>
          </w:tcPr>
          <w:p>
            <w:pPr>
              <w:jc w:val="center"/>
              <w:rPr>
                <w:rFonts w:hint="eastAsia" w:ascii="仿宋_GB2312" w:hAnsi="仿宋_GB2312" w:eastAsia="仿宋_GB2312" w:cs="仿宋_GB2312"/>
                <w:sz w:val="32"/>
                <w:szCs w:val="32"/>
              </w:rPr>
            </w:pPr>
          </w:p>
        </w:tc>
      </w:tr>
    </w:tbl>
    <w:p>
      <w:pPr>
        <w:keepNext w:val="0"/>
        <w:keepLines w:val="0"/>
        <w:pageBreakBefore w:val="0"/>
        <w:widowControl w:val="0"/>
        <w:tabs>
          <w:tab w:val="left" w:pos="2855"/>
        </w:tabs>
        <w:kinsoku/>
        <w:wordWrap/>
        <w:overflowPunct/>
        <w:topLinePunct w:val="0"/>
        <w:autoSpaceDE/>
        <w:autoSpaceDN/>
        <w:bidi w:val="0"/>
        <w:adjustRightInd/>
        <w:snapToGrid/>
        <w:spacing w:line="560" w:lineRule="exact"/>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【注:制定依据是指起草文件所依据的法律、法规、规章、国家或者本市政策以及上级行政机关的命令、决定。制定依据未主动上网公开的，制定机关应当提交有关的纸质文本。】</w:t>
      </w:r>
    </w:p>
    <w:p>
      <w:pPr>
        <w:rPr>
          <w:rFonts w:hint="eastAsia" w:ascii="黑体" w:hAnsi="黑体" w:eastAsia="黑体" w:cs="黑体"/>
          <w:b w:val="0"/>
          <w:bCs w:val="0"/>
          <w:sz w:val="32"/>
          <w:szCs w:val="32"/>
          <w:lang w:val="en-US" w:eastAsia="zh-CN"/>
        </w:rPr>
      </w:pPr>
    </w:p>
    <w:p>
      <w:pPr>
        <w:rPr>
          <w:rFonts w:hint="eastAsia" w:ascii="黑体" w:hAnsi="黑体" w:eastAsia="黑体" w:cs="黑体"/>
          <w:b w:val="0"/>
          <w:bCs w:val="0"/>
          <w:sz w:val="32"/>
          <w:szCs w:val="32"/>
          <w:lang w:val="en-US" w:eastAsia="zh-CN"/>
        </w:rPr>
      </w:pPr>
    </w:p>
    <w:p>
      <w:pP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附件4</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关于《*********（征求意见稿）》的公众参与情况报告</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（参考模板）</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根据《</w:t>
      </w:r>
      <w:r>
        <w:rPr>
          <w:rFonts w:hint="eastAsia" w:ascii="仿宋_GB2312" w:hAnsi="仿宋_GB2312" w:eastAsia="仿宋_GB2312" w:cs="仿宋_GB2312"/>
          <w:sz w:val="32"/>
          <w:szCs w:val="32"/>
          <w:lang w:val="en-US" w:eastAsia="zh-CN"/>
        </w:rPr>
        <w:t>上海市</w:t>
      </w:r>
      <w:r>
        <w:rPr>
          <w:rFonts w:hint="default" w:ascii="仿宋_GB2312" w:hAnsi="仿宋_GB2312" w:eastAsia="仿宋_GB2312" w:cs="仿宋_GB2312"/>
          <w:sz w:val="32"/>
          <w:szCs w:val="32"/>
          <w:lang w:val="en-US" w:eastAsia="zh-CN"/>
        </w:rPr>
        <w:t>重大行政决策程序规定》《</w:t>
      </w:r>
      <w:r>
        <w:rPr>
          <w:rFonts w:hint="eastAsia" w:ascii="仿宋_GB2312" w:hAnsi="仿宋_GB2312" w:eastAsia="仿宋_GB2312" w:cs="仿宋_GB2312"/>
          <w:sz w:val="32"/>
          <w:szCs w:val="32"/>
          <w:lang w:val="en-US" w:eastAsia="zh-CN"/>
        </w:rPr>
        <w:t>上海市</w:t>
      </w:r>
      <w:r>
        <w:rPr>
          <w:rFonts w:hint="default" w:ascii="仿宋_GB2312" w:hAnsi="仿宋_GB2312" w:eastAsia="仿宋_GB2312" w:cs="仿宋_GB2312"/>
          <w:sz w:val="32"/>
          <w:szCs w:val="32"/>
          <w:lang w:val="en-US" w:eastAsia="zh-CN"/>
        </w:rPr>
        <w:t>重大行政决策公众参与工作</w:t>
      </w:r>
      <w:r>
        <w:rPr>
          <w:rFonts w:hint="eastAsia" w:ascii="仿宋_GB2312" w:hAnsi="仿宋_GB2312" w:eastAsia="仿宋_GB2312" w:cs="仿宋_GB2312"/>
          <w:sz w:val="32"/>
          <w:szCs w:val="32"/>
          <w:lang w:val="en-US" w:eastAsia="zh-CN"/>
        </w:rPr>
        <w:t>规则</w:t>
      </w:r>
      <w:r>
        <w:rPr>
          <w:rFonts w:hint="default" w:ascii="仿宋_GB2312" w:hAnsi="仿宋_GB2312" w:eastAsia="仿宋_GB2312" w:cs="仿宋_GB2312"/>
          <w:sz w:val="32"/>
          <w:szCs w:val="32"/>
          <w:lang w:val="en-US" w:eastAsia="zh-CN"/>
        </w:rPr>
        <w:t>》等相关规定，</w:t>
      </w:r>
      <w:r>
        <w:rPr>
          <w:rFonts w:hint="eastAsia" w:ascii="仿宋_GB2312" w:hAnsi="仿宋_GB2312" w:eastAsia="仿宋_GB2312" w:cs="仿宋_GB2312"/>
          <w:sz w:val="32"/>
          <w:szCs w:val="32"/>
          <w:lang w:val="en-US" w:eastAsia="zh-CN"/>
        </w:rPr>
        <w:t>我局（委）</w:t>
      </w:r>
      <w:r>
        <w:rPr>
          <w:rFonts w:hint="default" w:ascii="仿宋_GB2312" w:hAnsi="仿宋_GB2312" w:eastAsia="仿宋_GB2312" w:cs="仿宋_GB2312"/>
          <w:sz w:val="32"/>
          <w:szCs w:val="32"/>
          <w:lang w:val="en-US" w:eastAsia="zh-CN"/>
        </w:rPr>
        <w:t>组织开展</w:t>
      </w:r>
      <w:r>
        <w:rPr>
          <w:rFonts w:hint="eastAsia" w:ascii="仿宋_GB2312" w:hAnsi="仿宋_GB2312" w:eastAsia="仿宋_GB2312" w:cs="仿宋_GB2312"/>
          <w:sz w:val="32"/>
          <w:szCs w:val="32"/>
          <w:lang w:val="en-US" w:eastAsia="zh-CN"/>
        </w:rPr>
        <w:t>了</w:t>
      </w:r>
      <w:r>
        <w:rPr>
          <w:rFonts w:hint="default" w:ascii="仿宋_GB2312" w:hAnsi="仿宋_GB2312" w:eastAsia="仿宋_GB2312" w:cs="仿宋_GB2312"/>
          <w:sz w:val="32"/>
          <w:szCs w:val="32"/>
          <w:lang w:val="en-US" w:eastAsia="zh-CN"/>
        </w:rPr>
        <w:t>《*********（征求意见稿）》公众参与活动，</w:t>
      </w:r>
      <w:r>
        <w:rPr>
          <w:rFonts w:hint="eastAsia" w:ascii="仿宋_GB2312" w:hAnsi="仿宋_GB2312" w:eastAsia="仿宋_GB2312" w:cs="仿宋_GB2312"/>
          <w:sz w:val="32"/>
          <w:szCs w:val="32"/>
          <w:lang w:val="en-US" w:eastAsia="zh-CN"/>
        </w:rPr>
        <w:t>全面、客观归纳整理各方面意见，并进行认真研究论证，充分听取采纳合理意见，现将相关情况报告如下</w:t>
      </w:r>
      <w:r>
        <w:rPr>
          <w:rFonts w:hint="default" w:ascii="仿宋_GB2312" w:hAnsi="仿宋_GB2312" w:eastAsia="仿宋_GB2312" w:cs="仿宋_GB2312"/>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一、履行公众参与程序总体情况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写明征求意见的时间、形式、征求意见对象及数量等情况。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（公众参与形式包括：区政府门户网站、新媒体等公开征求社会公众意见；座谈会；听证会；实地走访；书面征求意见；问卷调查；民意调查等。）</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例：2022年3月1日—2022年3月31日，《*********（征求意见稿）》在区政府门户网站公开征求社会公众意见。期间，《*********（征求意见稿）》被上海崇明微信公众号等媒体转载。公示阶段，页面浏览量共计****次，共收到反馈意见**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2022年3月15日，我局（委）组织召开《*********》征求意见座谈会，会议邀请企业代表、群众代表等共**名。会上，代表们就****等问题进行充分讨论，共提出意见**条。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二、意见征集与采纳情况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（一）关于***方面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主要意见：**********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采纳情况：**********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（二）关于***方面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主要意见：**********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采纳情况：**********</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（采纳情况：采纳意见的，应指明修改的内容；不采纳意见的，应说明理由。）</w:t>
      </w:r>
    </w:p>
    <w:p>
      <w:pPr>
        <w:spacing w:line="520" w:lineRule="exact"/>
        <w:jc w:val="left"/>
        <w:rPr>
          <w:rFonts w:hint="eastAsia" w:ascii="仿宋_GB2312" w:hAnsi="仿宋_GB2312" w:eastAsia="仿宋_GB2312" w:cs="仿宋_GB2312"/>
          <w:sz w:val="32"/>
          <w:szCs w:val="32"/>
        </w:rPr>
      </w:pPr>
    </w:p>
    <w:p>
      <w:pPr>
        <w:spacing w:line="520" w:lineRule="exact"/>
        <w:ind w:firstLine="5446" w:firstLineChars="1702"/>
        <w:jc w:val="left"/>
        <w:rPr>
          <w:rFonts w:hint="eastAsia" w:ascii="仿宋_GB2312" w:hAnsi="仿宋_GB2312" w:eastAsia="仿宋_GB2312" w:cs="仿宋_GB2312"/>
          <w:b w:val="0"/>
          <w:bCs/>
          <w:sz w:val="32"/>
          <w:szCs w:val="32"/>
        </w:rPr>
      </w:pPr>
    </w:p>
    <w:p>
      <w:pPr>
        <w:spacing w:line="520" w:lineRule="exact"/>
        <w:ind w:firstLine="5440" w:firstLineChars="1700"/>
        <w:jc w:val="left"/>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val="0"/>
          <w:bCs/>
          <w:sz w:val="32"/>
          <w:szCs w:val="32"/>
          <w:lang w:eastAsia="zh-CN"/>
        </w:rPr>
        <w:t>单位（盖章）</w:t>
      </w:r>
    </w:p>
    <w:p>
      <w:pPr>
        <w:spacing w:line="520" w:lineRule="exact"/>
        <w:ind w:firstLine="320" w:firstLineChars="100"/>
        <w:jc w:val="left"/>
        <w:rPr>
          <w:rFonts w:hint="eastAsia" w:ascii="仿宋" w:hAnsi="仿宋" w:eastAsia="仿宋"/>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lang w:eastAsia="zh-CN"/>
        </w:rPr>
        <w:t>年</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月</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日</w:t>
      </w:r>
      <w:r>
        <w:rPr>
          <w:rFonts w:hint="eastAsia" w:ascii="仿宋" w:hAnsi="仿宋" w:eastAsia="仿宋"/>
          <w:sz w:val="32"/>
          <w:szCs w:val="32"/>
        </w:rPr>
        <w:t xml:space="preserve">   </w:t>
      </w:r>
    </w:p>
    <w:p>
      <w:pPr>
        <w:rPr>
          <w:rFonts w:hint="eastAsia" w:ascii="仿宋" w:hAnsi="仿宋" w:eastAsia="仿宋"/>
          <w:sz w:val="32"/>
          <w:szCs w:val="32"/>
        </w:rPr>
      </w:pPr>
      <w:r>
        <w:rPr>
          <w:rFonts w:hint="eastAsia" w:ascii="仿宋" w:hAnsi="仿宋" w:eastAsia="仿宋"/>
          <w:sz w:val="32"/>
          <w:szCs w:val="32"/>
        </w:rPr>
        <w:br w:type="page"/>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附件5</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关于《*********（草案）》的专家咨询论证</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情况报告</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（参考模板）</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根据《上海市重大行政决策程序规定》相关要求，我局（委）邀请**、**、**三名专家对《*********（草案）》进行科学论证，并认真研究专家提供的意见建议，现将相关情况报告如下。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一、专家组成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姓名，职务/职称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二、专家论证总体情况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包括以下内容：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（一）决策的必要性、可行性、科学性；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（二）决策的经济社会效益；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（三）决策的执行条件；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（四）决策可能面临的社会稳定、公共安全、生态环境等方面的风险或者问题；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（五）决策实施后可能引发问题的对策。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三、专家意见建议及采纳情况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（一）**专家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主要意见：**********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采纳情况：**********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（二）**专家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主要意见：**********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采纳情况：**********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（三）**专家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主要意见：**********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采纳情况：**********</w:t>
      </w:r>
    </w:p>
    <w:p>
      <w:pPr>
        <w:spacing w:line="520" w:lineRule="exact"/>
        <w:jc w:val="left"/>
        <w:rPr>
          <w:rFonts w:hint="eastAsia" w:ascii="仿宋_GB2312" w:hAnsi="仿宋_GB2312" w:eastAsia="仿宋_GB2312" w:cs="仿宋_GB2312"/>
          <w:sz w:val="32"/>
          <w:szCs w:val="32"/>
        </w:rPr>
      </w:pPr>
    </w:p>
    <w:p>
      <w:pPr>
        <w:spacing w:line="520" w:lineRule="exact"/>
        <w:ind w:firstLine="5446" w:firstLineChars="1702"/>
        <w:jc w:val="left"/>
        <w:rPr>
          <w:rFonts w:hint="eastAsia" w:ascii="仿宋_GB2312" w:hAnsi="仿宋_GB2312" w:eastAsia="仿宋_GB2312" w:cs="仿宋_GB2312"/>
          <w:b w:val="0"/>
          <w:bCs/>
          <w:sz w:val="32"/>
          <w:szCs w:val="32"/>
        </w:rPr>
      </w:pPr>
    </w:p>
    <w:p>
      <w:pPr>
        <w:spacing w:line="520" w:lineRule="exact"/>
        <w:ind w:firstLine="5760" w:firstLineChars="1800"/>
        <w:jc w:val="left"/>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val="0"/>
          <w:bCs/>
          <w:sz w:val="32"/>
          <w:szCs w:val="32"/>
          <w:lang w:eastAsia="zh-CN"/>
        </w:rPr>
        <w:t>单位（盖章）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sz w:val="32"/>
          <w:szCs w:val="32"/>
        </w:rPr>
      </w:pP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lang w:eastAsia="zh-CN"/>
        </w:rPr>
        <w:t>年</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月</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日</w:t>
      </w:r>
      <w:r>
        <w:rPr>
          <w:rFonts w:hint="eastAsia" w:ascii="仿宋" w:hAnsi="仿宋" w:eastAsia="仿宋"/>
          <w:sz w:val="32"/>
          <w:szCs w:val="32"/>
        </w:rPr>
        <w:t xml:space="preserve">   </w:t>
      </w:r>
    </w:p>
    <w:p>
      <w:pPr>
        <w:rPr>
          <w:rFonts w:hint="eastAsia" w:ascii="仿宋" w:hAnsi="仿宋" w:eastAsia="仿宋"/>
          <w:sz w:val="32"/>
          <w:szCs w:val="32"/>
          <w:lang w:val="en-US" w:eastAsia="zh-CN"/>
        </w:rPr>
      </w:pPr>
      <w:r>
        <w:rPr>
          <w:rFonts w:hint="eastAsia" w:ascii="仿宋" w:hAnsi="仿宋" w:eastAsia="仿宋"/>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附件6</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关于《*********（草案）》的风险评估报告</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（参考模板）</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楷体_GB2312" w:hAnsi="楷体_GB2312" w:eastAsia="楷体_GB2312" w:cs="楷体_GB2312"/>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风险评估报告应当包括以下内容：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1.重大行政决策事项的基本情况；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2.风险评估的主体、方式和过程；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3.社会各方面对重大行政决策的反映；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4.重大行政决策的风险点、风险源；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5.重大行政决策风险的影响；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6.重大行政决策风险等级；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7.重大行政决策风险防范和化解措施，以及应急处置预案等内容；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8.形成风险评估结果，提出相关决策建议。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楷体_GB2312" w:cs="Times New Roman"/>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楷体_GB2312" w:cs="Times New Roman"/>
          <w:b w:val="0"/>
          <w:bCs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楷体_GB2312" w:cs="Times New Roman"/>
          <w:b w:val="0"/>
          <w:bCs w:val="0"/>
          <w:sz w:val="32"/>
          <w:szCs w:val="32"/>
          <w:lang w:val="en-US" w:eastAsia="zh-CN"/>
        </w:rPr>
      </w:pPr>
    </w:p>
    <w:p>
      <w:pPr>
        <w:rPr>
          <w:rFonts w:hint="default" w:ascii="Times New Roman" w:hAnsi="Times New Roman" w:eastAsia="楷体_GB2312" w:cs="Times New Roman"/>
          <w:b w:val="0"/>
          <w:bCs w:val="0"/>
          <w:sz w:val="32"/>
          <w:szCs w:val="32"/>
          <w:lang w:val="en-US" w:eastAsia="zh-CN"/>
        </w:rPr>
      </w:pPr>
      <w:r>
        <w:rPr>
          <w:rFonts w:hint="default" w:ascii="Times New Roman" w:hAnsi="Times New Roman" w:eastAsia="楷体_GB2312" w:cs="Times New Roman"/>
          <w:b w:val="0"/>
          <w:bCs w:val="0"/>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附件7</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关于《*********（草案）》的合法性初审意见</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（参考模板）</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eastAsia="zh-CN"/>
        </w:rPr>
        <w:t>《上海市重大行政决策程序规定》及其配套文件相关</w:t>
      </w:r>
      <w:r>
        <w:rPr>
          <w:rFonts w:hint="eastAsia" w:ascii="仿宋_GB2312" w:hAnsi="仿宋_GB2312" w:eastAsia="仿宋_GB2312" w:cs="仿宋_GB2312"/>
          <w:sz w:val="32"/>
          <w:szCs w:val="32"/>
        </w:rPr>
        <w:t>要求</w:t>
      </w:r>
      <w:r>
        <w:rPr>
          <w:rFonts w:hint="eastAsia" w:ascii="仿宋_GB2312" w:hAnsi="仿宋_GB2312" w:eastAsia="仿宋_GB2312" w:cs="仿宋_GB2312"/>
          <w:sz w:val="32"/>
          <w:szCs w:val="32"/>
          <w:lang w:eastAsia="zh-CN"/>
        </w:rPr>
        <w:t>，现对《*********（草案）》进行合法性初审，提出审查意见如下：</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ascii="黑体" w:hAnsi="黑体" w:eastAsia="黑体"/>
          <w:sz w:val="32"/>
          <w:szCs w:val="32"/>
        </w:rPr>
      </w:pPr>
      <w:r>
        <w:rPr>
          <w:rFonts w:hint="eastAsia" w:ascii="黑体" w:hAnsi="黑体" w:eastAsia="黑体"/>
          <w:sz w:val="32"/>
          <w:szCs w:val="32"/>
        </w:rPr>
        <w:t>一、关于文件制定主体</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xx(单位)作为文件制定主体，符合法定权限。</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ascii="黑体" w:hAnsi="黑体" w:eastAsia="黑体"/>
          <w:sz w:val="32"/>
          <w:szCs w:val="32"/>
        </w:rPr>
      </w:pPr>
      <w:r>
        <w:rPr>
          <w:rFonts w:hint="eastAsia" w:ascii="黑体" w:hAnsi="黑体" w:eastAsia="黑体"/>
          <w:sz w:val="32"/>
          <w:szCs w:val="32"/>
        </w:rPr>
        <w:t>二、关于文件实体内容</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楷体_GB2312" w:hAnsi="仿宋" w:eastAsia="楷体_GB2312"/>
          <w:b/>
          <w:sz w:val="32"/>
          <w:szCs w:val="32"/>
        </w:rPr>
      </w:pPr>
      <w:r>
        <w:rPr>
          <w:rFonts w:hint="eastAsia" w:ascii="楷体_GB2312" w:hAnsi="仿宋" w:eastAsia="楷体_GB2312"/>
          <w:b/>
          <w:sz w:val="32"/>
          <w:szCs w:val="32"/>
        </w:rPr>
        <w:t>情形一：(合法)</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该文件内容符合相关法律、法规、规章及政策规定；未发现文件存在违法或者明显不当情形。</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楷体_GB2312" w:hAnsi="仿宋" w:eastAsia="楷体_GB2312"/>
          <w:b/>
          <w:sz w:val="32"/>
          <w:szCs w:val="32"/>
        </w:rPr>
      </w:pPr>
      <w:r>
        <w:rPr>
          <w:rFonts w:hint="eastAsia" w:ascii="楷体_GB2312" w:hAnsi="仿宋" w:eastAsia="楷体_GB2312"/>
          <w:b/>
          <w:sz w:val="32"/>
          <w:szCs w:val="32"/>
        </w:rPr>
        <w:t>情形二：(不合法)</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该文件内容明显不符合相关法律、法规、规章及政策规定。（详细说明具体理由）</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ascii="楷体_GB2312" w:hAnsi="仿宋" w:eastAsia="楷体_GB2312"/>
          <w:b/>
          <w:sz w:val="32"/>
          <w:szCs w:val="32"/>
        </w:rPr>
      </w:pPr>
      <w:r>
        <w:rPr>
          <w:rFonts w:hint="eastAsia" w:ascii="楷体_GB2312" w:hAnsi="仿宋" w:eastAsia="楷体_GB2312"/>
          <w:b/>
          <w:sz w:val="32"/>
          <w:szCs w:val="32"/>
        </w:rPr>
        <w:t>情形三：(应当予以修改)</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1.该文件部分内容不符合相关法律、法规、规章及政策规定。（单独详细说明具体理由）</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.该文件存在明显不合理内容。（单独详细说明具体理由）</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.该文件存在的其他问题。（单独详细说明具体理由）</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黑体" w:hAnsi="黑体" w:eastAsia="黑体" w:cs="黑体"/>
          <w:sz w:val="32"/>
          <w:szCs w:val="32"/>
        </w:rPr>
      </w:pPr>
      <w:r>
        <w:rPr>
          <w:rFonts w:hint="eastAsia" w:ascii="黑体" w:hAnsi="黑体" w:eastAsia="黑体" w:cs="黑体"/>
          <w:sz w:val="32"/>
          <w:szCs w:val="32"/>
        </w:rPr>
        <w:t>三、关于文件制定程序</w:t>
      </w:r>
    </w:p>
    <w:p>
      <w:pPr>
        <w:keepNext w:val="0"/>
        <w:keepLines w:val="0"/>
        <w:pageBreakBefore w:val="0"/>
        <w:widowControl w:val="0"/>
        <w:kinsoku/>
        <w:wordWrap/>
        <w:overflowPunct/>
        <w:topLinePunct w:val="0"/>
        <w:autoSpaceDE/>
        <w:autoSpaceDN/>
        <w:bidi w:val="0"/>
        <w:adjustRightInd/>
        <w:snapToGrid/>
        <w:spacing w:line="560" w:lineRule="exact"/>
        <w:ind w:firstLine="63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截至目前，《*********（草案）》的形成已履行公众参与、专家论证、风险评估等法定程序，</w:t>
      </w:r>
      <w:r>
        <w:rPr>
          <w:rFonts w:hint="eastAsia" w:ascii="仿宋_GB2312" w:hAnsi="仿宋_GB2312" w:eastAsia="仿宋_GB2312" w:cs="仿宋_GB2312"/>
          <w:sz w:val="32"/>
          <w:szCs w:val="32"/>
        </w:rPr>
        <w:t>未发现存在制定程序违法情形。</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以上意见，供参考。</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委（办、局）</w:t>
      </w:r>
      <w:r>
        <w:rPr>
          <w:rFonts w:hint="eastAsia" w:ascii="仿宋_GB2312" w:hAnsi="仿宋_GB2312" w:eastAsia="仿宋_GB2312" w:cs="仿宋_GB2312"/>
          <w:sz w:val="32"/>
          <w:szCs w:val="32"/>
          <w:lang w:val="en-US" w:eastAsia="zh-CN"/>
        </w:rPr>
        <w:t>/法律顾问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（单位盖章或法律顾问电子签名）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b w:val="0"/>
          <w:bCs/>
          <w:sz w:val="32"/>
          <w:szCs w:val="32"/>
          <w:lang w:val="en-US" w:eastAsia="zh-CN"/>
        </w:rPr>
        <w:t xml:space="preserve"> ****</w:t>
      </w:r>
      <w:r>
        <w:rPr>
          <w:rFonts w:hint="eastAsia" w:ascii="仿宋_GB2312" w:hAnsi="仿宋_GB2312" w:eastAsia="仿宋_GB2312" w:cs="仿宋_GB2312"/>
          <w:b w:val="0"/>
          <w:bCs/>
          <w:sz w:val="32"/>
          <w:szCs w:val="32"/>
          <w:lang w:eastAsia="zh-CN"/>
        </w:rPr>
        <w:t>年</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月</w:t>
      </w:r>
      <w:r>
        <w:rPr>
          <w:rFonts w:hint="eastAsia" w:ascii="仿宋_GB2312" w:hAnsi="仿宋_GB2312" w:eastAsia="仿宋_GB2312" w:cs="仿宋_GB2312"/>
          <w:b w:val="0"/>
          <w:bCs/>
          <w:sz w:val="32"/>
          <w:szCs w:val="32"/>
          <w:lang w:val="en-US" w:eastAsia="zh-CN"/>
        </w:rPr>
        <w:t>**</w:t>
      </w:r>
      <w:r>
        <w:rPr>
          <w:rFonts w:hint="eastAsia" w:ascii="仿宋_GB2312" w:hAnsi="仿宋_GB2312" w:eastAsia="仿宋_GB2312" w:cs="仿宋_GB2312"/>
          <w:b w:val="0"/>
          <w:bCs/>
          <w:sz w:val="32"/>
          <w:szCs w:val="32"/>
          <w:lang w:eastAsia="zh-CN"/>
        </w:rPr>
        <w:t>日</w:t>
      </w:r>
      <w:r>
        <w:rPr>
          <w:rFonts w:hint="eastAsia" w:ascii="仿宋" w:hAnsi="仿宋" w:eastAsia="仿宋"/>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textAlignment w:val="auto"/>
        <w:rPr>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楷体_GB2312" w:cs="Times New Roman"/>
          <w:b w:val="0"/>
          <w:bCs w:val="0"/>
          <w:sz w:val="32"/>
          <w:szCs w:val="32"/>
          <w:lang w:val="en-US" w:eastAsia="zh-CN"/>
        </w:rPr>
      </w:pPr>
    </w:p>
    <w:p>
      <w:pPr>
        <w:bidi w:val="0"/>
        <w:rPr>
          <w:rFonts w:hint="default" w:asciiTheme="minorHAnsi" w:hAnsiTheme="minorHAnsi" w:eastAsiaTheme="minorEastAsia" w:cstheme="minorBidi"/>
          <w:kern w:val="2"/>
          <w:sz w:val="21"/>
          <w:szCs w:val="24"/>
          <w:lang w:val="en-US" w:eastAsia="zh-CN" w:bidi="ar-SA"/>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bidi w:val="0"/>
        <w:rPr>
          <w:rFonts w:hint="default"/>
          <w:lang w:val="en-US" w:eastAsia="zh-CN"/>
        </w:rPr>
      </w:pPr>
    </w:p>
    <w:p>
      <w:pPr>
        <w:tabs>
          <w:tab w:val="left" w:pos="7629"/>
        </w:tabs>
        <w:bidi w:val="0"/>
        <w:jc w:val="left"/>
        <w:rPr>
          <w:rFonts w:hint="default"/>
          <w:lang w:val="en-US" w:eastAsia="zh-CN"/>
        </w:rPr>
      </w:pPr>
      <w:r>
        <w:rPr>
          <w:rFonts w:hint="eastAsia"/>
          <w:lang w:val="en-US" w:eastAsia="zh-CN"/>
        </w:rPr>
        <w:tab/>
      </w:r>
    </w:p>
    <w:sectPr>
      <w:footerReference r:id="rId3" w:type="default"/>
      <w:pgSz w:w="11906" w:h="16838"/>
      <w:pgMar w:top="2098" w:right="1474" w:bottom="1984" w:left="1587" w:header="851" w:footer="1417"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FmNTAyMzA1ZDRjZmUxMjgxOWVjYTcxMGY0MjY0OWIifQ=="/>
  </w:docVars>
  <w:rsids>
    <w:rsidRoot w:val="39281601"/>
    <w:rsid w:val="01CA216C"/>
    <w:rsid w:val="01F91B78"/>
    <w:rsid w:val="03587183"/>
    <w:rsid w:val="03DA6157"/>
    <w:rsid w:val="03E80687"/>
    <w:rsid w:val="053550FD"/>
    <w:rsid w:val="05DD327A"/>
    <w:rsid w:val="06693D01"/>
    <w:rsid w:val="0B7D3DAB"/>
    <w:rsid w:val="0D1B387B"/>
    <w:rsid w:val="0EBB48C9"/>
    <w:rsid w:val="0F4A4549"/>
    <w:rsid w:val="0F6C03BE"/>
    <w:rsid w:val="10F92125"/>
    <w:rsid w:val="11F16E4C"/>
    <w:rsid w:val="12971BF6"/>
    <w:rsid w:val="13BF31B2"/>
    <w:rsid w:val="13F310AE"/>
    <w:rsid w:val="14467430"/>
    <w:rsid w:val="16537DD2"/>
    <w:rsid w:val="167D1838"/>
    <w:rsid w:val="175E0F34"/>
    <w:rsid w:val="1915300B"/>
    <w:rsid w:val="198A4B02"/>
    <w:rsid w:val="1A587EBD"/>
    <w:rsid w:val="1BF65BDF"/>
    <w:rsid w:val="1C344513"/>
    <w:rsid w:val="1EB177C6"/>
    <w:rsid w:val="1F0263A7"/>
    <w:rsid w:val="1F662160"/>
    <w:rsid w:val="212F2F56"/>
    <w:rsid w:val="2194603E"/>
    <w:rsid w:val="21DB748C"/>
    <w:rsid w:val="246B6A9B"/>
    <w:rsid w:val="257054FD"/>
    <w:rsid w:val="28854436"/>
    <w:rsid w:val="29297FAE"/>
    <w:rsid w:val="2A9B4424"/>
    <w:rsid w:val="2B3B53BD"/>
    <w:rsid w:val="2C1F083A"/>
    <w:rsid w:val="2DCC2028"/>
    <w:rsid w:val="2DD613CD"/>
    <w:rsid w:val="2E1F65F1"/>
    <w:rsid w:val="2EC2493C"/>
    <w:rsid w:val="2ED406F0"/>
    <w:rsid w:val="2F7C1195"/>
    <w:rsid w:val="322873BD"/>
    <w:rsid w:val="33095DA0"/>
    <w:rsid w:val="34E5682D"/>
    <w:rsid w:val="35CE1630"/>
    <w:rsid w:val="3683254C"/>
    <w:rsid w:val="38865D80"/>
    <w:rsid w:val="39127AAA"/>
    <w:rsid w:val="39281601"/>
    <w:rsid w:val="3C253CC3"/>
    <w:rsid w:val="3CB5557D"/>
    <w:rsid w:val="3D9436BB"/>
    <w:rsid w:val="3EB00EA7"/>
    <w:rsid w:val="3F4343E8"/>
    <w:rsid w:val="403205BD"/>
    <w:rsid w:val="4077259B"/>
    <w:rsid w:val="410F4ECA"/>
    <w:rsid w:val="41566655"/>
    <w:rsid w:val="43587D72"/>
    <w:rsid w:val="43E36501"/>
    <w:rsid w:val="4440539A"/>
    <w:rsid w:val="44DC6476"/>
    <w:rsid w:val="44E67CEF"/>
    <w:rsid w:val="46071529"/>
    <w:rsid w:val="47E14B18"/>
    <w:rsid w:val="487E4EC7"/>
    <w:rsid w:val="49A364F2"/>
    <w:rsid w:val="4C543964"/>
    <w:rsid w:val="4C9B5863"/>
    <w:rsid w:val="4E1753BE"/>
    <w:rsid w:val="4EA25A2A"/>
    <w:rsid w:val="4F027E1C"/>
    <w:rsid w:val="4F9B4587"/>
    <w:rsid w:val="514C1031"/>
    <w:rsid w:val="52280B99"/>
    <w:rsid w:val="52BC6534"/>
    <w:rsid w:val="53003541"/>
    <w:rsid w:val="54C728E8"/>
    <w:rsid w:val="550B72FE"/>
    <w:rsid w:val="5538576B"/>
    <w:rsid w:val="56A96DCF"/>
    <w:rsid w:val="57811AFA"/>
    <w:rsid w:val="57AD1747"/>
    <w:rsid w:val="594551E0"/>
    <w:rsid w:val="5A6E2809"/>
    <w:rsid w:val="5CBB785C"/>
    <w:rsid w:val="5DB06C95"/>
    <w:rsid w:val="5DE132F2"/>
    <w:rsid w:val="5EDD7F5D"/>
    <w:rsid w:val="5F1B3830"/>
    <w:rsid w:val="5F472ACC"/>
    <w:rsid w:val="63C03053"/>
    <w:rsid w:val="667A40B4"/>
    <w:rsid w:val="67C15D4F"/>
    <w:rsid w:val="68660F04"/>
    <w:rsid w:val="6A797D10"/>
    <w:rsid w:val="6A975464"/>
    <w:rsid w:val="6B077539"/>
    <w:rsid w:val="6B9304BE"/>
    <w:rsid w:val="6CB87914"/>
    <w:rsid w:val="6D196605"/>
    <w:rsid w:val="6D714693"/>
    <w:rsid w:val="713627D4"/>
    <w:rsid w:val="71E63182"/>
    <w:rsid w:val="735B65E3"/>
    <w:rsid w:val="75887BAB"/>
    <w:rsid w:val="7735228D"/>
    <w:rsid w:val="77690189"/>
    <w:rsid w:val="78A7016B"/>
    <w:rsid w:val="7A1D32D1"/>
    <w:rsid w:val="7AC13332"/>
    <w:rsid w:val="7D253509"/>
    <w:rsid w:val="7E132BFC"/>
    <w:rsid w:val="7EE227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Hyperlink"/>
    <w:basedOn w:val="5"/>
    <w:qFormat/>
    <w:uiPriority w:val="0"/>
    <w:rPr>
      <w:color w:val="0000FF"/>
      <w:u w:val="single"/>
    </w:rPr>
  </w:style>
  <w:style w:type="paragraph"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上海市崇明区绿华镇人民政府</Company>
  <Pages>18</Pages>
  <Words>5166</Words>
  <Characters>5539</Characters>
  <Lines>0</Lines>
  <Paragraphs>0</Paragraphs>
  <TotalTime>58</TotalTime>
  <ScaleCrop>false</ScaleCrop>
  <LinksUpToDate>false</LinksUpToDate>
  <CharactersWithSpaces>5853</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2021-05-10T03:22:00Z</dcterms:created>
  <dc:creator>lenovo</dc:creator>
  <cp:lastModifiedBy>FannieJasmine</cp:lastModifiedBy>
  <cp:lastPrinted>2022-04-01T00:35:00Z</cp:lastPrinted>
  <dcterms:modified xsi:type="dcterms:W3CDTF">2022-07-19T02:17:30Z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A579911C8E6042A881DE6915C0D83312</vt:lpwstr>
  </property>
</Properties>
</file>