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黑体" w:eastAsia="黑体" w:cs="黑体"/>
          <w:b w:val="0"/>
          <w:bCs w:val="0"/>
          <w:color w:val="auto"/>
        </w:rPr>
      </w:pPr>
      <w:r>
        <w:rPr>
          <w:rFonts w:hint="eastAsia" w:ascii="黑体" w:hAnsi="黑体" w:eastAsia="黑体" w:cs="黑体"/>
          <w:b w:val="0"/>
          <w:bCs w:val="0"/>
          <w:color w:val="auto"/>
        </w:rPr>
        <w:t>附件1</w:t>
      </w:r>
    </w:p>
    <w:p>
      <w:pPr>
        <w:spacing w:line="560" w:lineRule="exact"/>
        <w:jc w:val="left"/>
        <w:rPr>
          <w:rFonts w:hint="eastAsia" w:ascii="黑体" w:hAnsi="黑体" w:eastAsia="黑体" w:cs="黑体"/>
          <w:b w:val="0"/>
          <w:bCs w:val="0"/>
          <w:color w:val="auto"/>
        </w:rPr>
      </w:pPr>
    </w:p>
    <w:p>
      <w:pPr>
        <w:spacing w:line="560" w:lineRule="exact"/>
        <w:jc w:val="center"/>
        <w:rPr>
          <w:rFonts w:hint="eastAsia" w:ascii="方正小标宋简体" w:hAnsi="方正小标宋简体" w:eastAsia="方正小标宋简体" w:cs="方正小标宋简体"/>
          <w:b w:val="0"/>
          <w:bCs w:val="0"/>
          <w:color w:val="auto"/>
          <w:sz w:val="44"/>
          <w:szCs w:val="44"/>
        </w:rPr>
      </w:pPr>
      <w:bookmarkStart w:id="0" w:name="_GoBack"/>
      <w:r>
        <w:rPr>
          <w:rFonts w:hint="eastAsia" w:ascii="方正小标宋简体" w:hAnsi="方正小标宋简体" w:eastAsia="方正小标宋简体" w:cs="方正小标宋简体"/>
          <w:b w:val="0"/>
          <w:bCs w:val="0"/>
          <w:color w:val="auto"/>
          <w:sz w:val="44"/>
          <w:szCs w:val="44"/>
        </w:rPr>
        <w:t>崇明区建设项目环境保护事中事后监管</w:t>
      </w:r>
    </w:p>
    <w:bookmarkEnd w:id="0"/>
    <w:p>
      <w:pPr>
        <w:spacing w:line="560" w:lineRule="exact"/>
        <w:jc w:val="center"/>
        <w:rPr>
          <w:rFonts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实施意见</w:t>
      </w:r>
    </w:p>
    <w:p>
      <w:pPr>
        <w:spacing w:line="560" w:lineRule="exact"/>
        <w:jc w:val="center"/>
        <w:rPr>
          <w:rFonts w:ascii="方正小标宋简体" w:hAnsi="方正小标宋简体" w:eastAsia="方正小标宋简体" w:cs="方正小标宋简体"/>
          <w:b w:val="0"/>
          <w:bCs w:val="0"/>
          <w:color w:val="auto"/>
          <w:sz w:val="44"/>
          <w:szCs w:val="44"/>
        </w:rPr>
      </w:pPr>
    </w:p>
    <w:p>
      <w:pPr>
        <w:spacing w:line="560" w:lineRule="exact"/>
        <w:ind w:firstLine="640" w:firstLineChars="200"/>
        <w:rPr>
          <w:rFonts w:ascii="仿宋_GB2312" w:hAnsi="仿宋_GB2312" w:eastAsia="仿宋_GB2312" w:cs="仿宋_GB2312"/>
          <w:b w:val="0"/>
          <w:bCs w:val="0"/>
          <w:color w:val="auto"/>
        </w:rPr>
      </w:pPr>
      <w:r>
        <w:rPr>
          <w:rFonts w:ascii="仿宋_GB2312" w:hAnsi="仿宋_GB2312" w:eastAsia="仿宋_GB2312" w:cs="仿宋_GB2312"/>
          <w:b w:val="0"/>
          <w:bCs w:val="0"/>
          <w:color w:val="auto"/>
        </w:rPr>
        <w:t>为贯彻落实《上海市建设项目环境保护事中事后</w:t>
      </w:r>
      <w:r>
        <w:rPr>
          <w:rFonts w:hint="eastAsia" w:ascii="仿宋_GB2312" w:hAnsi="仿宋_GB2312" w:eastAsia="仿宋_GB2312" w:cs="仿宋_GB2312"/>
          <w:b w:val="0"/>
          <w:bCs w:val="0"/>
          <w:color w:val="auto"/>
        </w:rPr>
        <w:t>监督</w:t>
      </w:r>
      <w:r>
        <w:rPr>
          <w:rFonts w:ascii="仿宋_GB2312" w:hAnsi="仿宋_GB2312" w:eastAsia="仿宋_GB2312" w:cs="仿宋_GB2312"/>
          <w:b w:val="0"/>
          <w:bCs w:val="0"/>
          <w:color w:val="auto"/>
        </w:rPr>
        <w:t>管理办法（试行）》</w:t>
      </w:r>
      <w:r>
        <w:rPr>
          <w:rFonts w:hint="eastAsia" w:ascii="仿宋_GB2312" w:hAnsi="仿宋_GB2312" w:eastAsia="仿宋_GB2312" w:cs="仿宋_GB2312"/>
          <w:b w:val="0"/>
          <w:bCs w:val="0"/>
          <w:color w:val="auto"/>
        </w:rPr>
        <w:t>（</w:t>
      </w:r>
      <w:r>
        <w:rPr>
          <w:rFonts w:ascii="仿宋_GB2312" w:hAnsi="仿宋_GB2312" w:eastAsia="仿宋_GB2312" w:cs="仿宋_GB2312"/>
          <w:b w:val="0"/>
          <w:bCs w:val="0"/>
          <w:color w:val="auto"/>
        </w:rPr>
        <w:t>沪环规〔2019〕10号</w:t>
      </w:r>
      <w:r>
        <w:rPr>
          <w:rFonts w:hint="eastAsia" w:ascii="仿宋_GB2312" w:hAnsi="仿宋_GB2312" w:eastAsia="仿宋_GB2312" w:cs="仿宋_GB2312"/>
          <w:b w:val="0"/>
          <w:bCs w:val="0"/>
          <w:color w:val="auto"/>
        </w:rPr>
        <w:t>）</w:t>
      </w:r>
      <w:r>
        <w:rPr>
          <w:rFonts w:ascii="仿宋_GB2312" w:hAnsi="仿宋_GB2312" w:eastAsia="仿宋_GB2312" w:cs="仿宋_GB2312"/>
          <w:b w:val="0"/>
          <w:bCs w:val="0"/>
          <w:color w:val="auto"/>
        </w:rPr>
        <w:t>（以下简称《管理办法》）要求，强化建设项目事中事后监管，现提出本区建设项目环境保护事中事后监管实施意见如下：</w:t>
      </w:r>
    </w:p>
    <w:p>
      <w:pPr>
        <w:numPr>
          <w:ilvl w:val="0"/>
          <w:numId w:val="1"/>
        </w:numPr>
        <w:spacing w:line="560" w:lineRule="exact"/>
        <w:ind w:firstLine="640" w:firstLineChars="200"/>
        <w:rPr>
          <w:rFonts w:ascii="黑体" w:hAnsi="黑体" w:eastAsia="黑体" w:cs="黑体"/>
          <w:b w:val="0"/>
          <w:bCs w:val="0"/>
          <w:color w:val="auto"/>
        </w:rPr>
      </w:pPr>
      <w:r>
        <w:rPr>
          <w:rFonts w:hint="eastAsia" w:ascii="黑体" w:hAnsi="黑体" w:eastAsia="黑体" w:cs="黑体"/>
          <w:b w:val="0"/>
          <w:bCs w:val="0"/>
          <w:color w:val="auto"/>
        </w:rPr>
        <w:t>总体目标</w:t>
      </w:r>
    </w:p>
    <w:p>
      <w:pPr>
        <w:spacing w:line="560" w:lineRule="exact"/>
        <w:ind w:firstLine="640" w:firstLineChars="200"/>
        <w:rPr>
          <w:rFonts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以习近平生态文明思想为指导，按照国家关于深化“放管服”改革的要求，通过制度创新、转变环境影响评价管理方式、优化行政审批程序等，提高服务水平，切实保障环评制度效力，为打好污染防治攻坚战，实现崇明世界级生态岛高质量发展提供制度保障。</w:t>
      </w:r>
    </w:p>
    <w:p>
      <w:pPr>
        <w:numPr>
          <w:ilvl w:val="0"/>
          <w:numId w:val="1"/>
        </w:numPr>
        <w:spacing w:line="560" w:lineRule="exact"/>
        <w:ind w:firstLine="640" w:firstLineChars="200"/>
        <w:rPr>
          <w:rFonts w:hint="eastAsia" w:ascii="黑体" w:hAnsi="黑体" w:eastAsia="黑体" w:cs="黑体"/>
          <w:b w:val="0"/>
          <w:bCs w:val="0"/>
          <w:color w:val="auto"/>
        </w:rPr>
      </w:pPr>
      <w:r>
        <w:rPr>
          <w:rFonts w:hint="eastAsia" w:ascii="黑体" w:hAnsi="黑体" w:eastAsia="黑体" w:cs="黑体"/>
          <w:b w:val="0"/>
          <w:bCs w:val="0"/>
          <w:color w:val="auto"/>
        </w:rPr>
        <w:t>监管原则</w:t>
      </w:r>
    </w:p>
    <w:p>
      <w:pPr>
        <w:numPr>
          <w:ilvl w:val="0"/>
          <w:numId w:val="2"/>
        </w:num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分级监管</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构建建设项目环境保护事中事后监管横向到边、纵向到底</w:t>
      </w:r>
      <w:r>
        <w:rPr>
          <w:rFonts w:hint="eastAsia" w:ascii="仿宋_GB2312" w:hAnsi="仿宋_GB2312" w:eastAsia="仿宋_GB2312" w:cs="仿宋_GB2312"/>
          <w:b w:val="0"/>
          <w:bCs w:val="0"/>
          <w:color w:val="auto"/>
          <w:lang w:eastAsia="zh-CN"/>
        </w:rPr>
        <w:t>，</w:t>
      </w:r>
      <w:r>
        <w:rPr>
          <w:rFonts w:hint="eastAsia" w:ascii="仿宋_GB2312" w:hAnsi="仿宋_GB2312" w:eastAsia="仿宋_GB2312" w:cs="仿宋_GB2312"/>
          <w:b w:val="0"/>
          <w:bCs w:val="0"/>
          <w:color w:val="auto"/>
        </w:rPr>
        <w:t>职责分工明确、工作联系密切的“区、乡镇（工业园区）”两级监管体系。</w:t>
      </w:r>
    </w:p>
    <w:p>
      <w:pPr>
        <w:numPr>
          <w:ilvl w:val="0"/>
          <w:numId w:val="2"/>
        </w:num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分类监管</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建设项目环境保护事中事后监管实行分类监管，共划分为三类：审批制项目、告知承诺制项目和备案制项目，针对不同项目采取差别化监管，具体要求见</w:t>
      </w:r>
      <w:r>
        <w:rPr>
          <w:rFonts w:ascii="仿宋_GB2312" w:hAnsi="仿宋_GB2312" w:eastAsia="仿宋_GB2312" w:cs="仿宋_GB2312"/>
          <w:b w:val="0"/>
          <w:bCs w:val="0"/>
          <w:color w:val="auto"/>
        </w:rPr>
        <w:t>《管理办法》</w:t>
      </w:r>
      <w:r>
        <w:rPr>
          <w:rFonts w:hint="eastAsia" w:ascii="仿宋_GB2312" w:hAnsi="仿宋_GB2312" w:eastAsia="仿宋_GB2312" w:cs="仿宋_GB2312"/>
          <w:b w:val="0"/>
          <w:bCs w:val="0"/>
          <w:color w:val="auto"/>
        </w:rPr>
        <w:t>。</w:t>
      </w:r>
    </w:p>
    <w:p>
      <w:pPr>
        <w:numPr>
          <w:ilvl w:val="0"/>
          <w:numId w:val="2"/>
        </w:num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过程监管</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建设项目环境保护监管分为事中、事后两个阶段，全面提升建设项目在建设期、调试期、运营期的监管效能。事中是指建设项目在完成环境影响评价审批或备案后到正式投入生产或使用期间。事后是指建设项目在正式投入生产或使用后。</w:t>
      </w:r>
    </w:p>
    <w:p>
      <w:pPr>
        <w:numPr>
          <w:ilvl w:val="0"/>
          <w:numId w:val="2"/>
        </w:num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多方监管</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通过统筹谋划，全盘考虑，将建设项目环境保护事中事后监管与排污许可等其他环保监管制度有机衔接，纳入污染源日常监管范围，并与排污许可证监管形成双向促进。</w:t>
      </w:r>
    </w:p>
    <w:p>
      <w:pPr>
        <w:numPr>
          <w:ilvl w:val="0"/>
          <w:numId w:val="1"/>
        </w:numPr>
        <w:spacing w:line="560" w:lineRule="exact"/>
        <w:ind w:firstLine="640" w:firstLineChars="200"/>
        <w:rPr>
          <w:rFonts w:hint="eastAsia" w:ascii="黑体" w:hAnsi="黑体" w:eastAsia="黑体" w:cs="黑体"/>
          <w:b w:val="0"/>
          <w:bCs w:val="0"/>
          <w:color w:val="auto"/>
        </w:rPr>
      </w:pPr>
      <w:r>
        <w:rPr>
          <w:rFonts w:hint="eastAsia" w:ascii="黑体" w:hAnsi="黑体" w:eastAsia="黑体" w:cs="黑体"/>
          <w:b w:val="0"/>
          <w:bCs w:val="0"/>
          <w:color w:val="auto"/>
        </w:rPr>
        <w:t>监管内容</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建设项目环境保护事中监管主要内容：遵守法律法规情况；环评手续合规性及措施落实情况；环境信息公开情况；“三同时”执行情况等。</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建设项目环境保护事后监管主要内容：遵守法律法规情况；污染物排放情况；污染防治设施运行情况；环境管理制度落实情况；竣工环境保护验收情况；排污许可制度执行情况；环境影响后评价开展情况等。</w:t>
      </w:r>
    </w:p>
    <w:p>
      <w:pPr>
        <w:numPr>
          <w:ilvl w:val="0"/>
          <w:numId w:val="1"/>
        </w:numPr>
        <w:spacing w:line="560" w:lineRule="exact"/>
        <w:ind w:firstLine="640" w:firstLineChars="200"/>
        <w:rPr>
          <w:rFonts w:hint="eastAsia" w:ascii="黑体" w:hAnsi="黑体" w:eastAsia="黑体" w:cs="黑体"/>
          <w:b w:val="0"/>
          <w:bCs w:val="0"/>
          <w:color w:val="auto"/>
        </w:rPr>
      </w:pPr>
      <w:r>
        <w:rPr>
          <w:rFonts w:hint="eastAsia" w:ascii="黑体" w:hAnsi="黑体" w:eastAsia="黑体" w:cs="黑体"/>
          <w:b w:val="0"/>
          <w:bCs w:val="0"/>
          <w:color w:val="auto"/>
        </w:rPr>
        <w:t>职责分工</w:t>
      </w:r>
    </w:p>
    <w:p>
      <w:pPr>
        <w:pStyle w:val="4"/>
        <w:numPr>
          <w:ilvl w:val="0"/>
          <w:numId w:val="3"/>
        </w:numPr>
        <w:spacing w:line="560" w:lineRule="exact"/>
        <w:ind w:firstLineChars="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区生态环境局审批科职责</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牵头组织执法和监测部门开展审批制项目及告知承诺制项目的事中事后监管工作，负责告知承诺项目的环评文件质量核查。监督和指导乡镇、园区开展建设项目环境保护事中事后监管工作。每月将环评审批、告知承诺、登记表备案、自主验收企业名单抄送各乡镇、园区及局相关科室（部门）。同时按照要求的监管频次和时限，确定事中检查企业名单，每季度会同</w:t>
      </w:r>
      <w:r>
        <w:rPr>
          <w:rFonts w:hint="eastAsia" w:ascii="仿宋_GB2312" w:hAnsi="仿宋_GB2312" w:eastAsia="仿宋_GB2312" w:cs="仿宋_GB2312"/>
          <w:b w:val="0"/>
          <w:bCs w:val="0"/>
          <w:color w:val="auto"/>
          <w:lang w:eastAsia="zh-CN"/>
        </w:rPr>
        <w:t>区生态环境局</w:t>
      </w:r>
      <w:r>
        <w:rPr>
          <w:rFonts w:hint="eastAsia" w:ascii="仿宋_GB2312" w:hAnsi="仿宋_GB2312" w:eastAsia="仿宋_GB2312" w:cs="仿宋_GB2312"/>
          <w:b w:val="0"/>
          <w:bCs w:val="0"/>
          <w:color w:val="auto"/>
        </w:rPr>
        <w:t>执法大队开展现场检查。</w:t>
      </w:r>
    </w:p>
    <w:p>
      <w:pPr>
        <w:pStyle w:val="4"/>
        <w:numPr>
          <w:ilvl w:val="0"/>
          <w:numId w:val="3"/>
        </w:numPr>
        <w:spacing w:line="560" w:lineRule="exact"/>
        <w:ind w:firstLineChars="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区</w:t>
      </w:r>
      <w:r>
        <w:rPr>
          <w:rFonts w:hint="eastAsia" w:ascii="仿宋_GB2312" w:hAnsi="仿宋_GB2312" w:eastAsia="仿宋_GB2312" w:cs="仿宋_GB2312"/>
          <w:b w:val="0"/>
          <w:bCs w:val="0"/>
          <w:color w:val="auto"/>
          <w:lang w:eastAsia="zh-CN"/>
        </w:rPr>
        <w:t>生态环境局</w:t>
      </w:r>
      <w:r>
        <w:rPr>
          <w:rFonts w:hint="eastAsia" w:ascii="仿宋_GB2312" w:hAnsi="仿宋_GB2312" w:eastAsia="仿宋_GB2312" w:cs="仿宋_GB2312"/>
          <w:b w:val="0"/>
          <w:bCs w:val="0"/>
          <w:color w:val="auto"/>
        </w:rPr>
        <w:t>执法大队职责</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开展建设项目事后监管（备案制项目除外）相关工作，将已通过自主验收的建设项目纳入“双随机、一公开”，并按照要求的监管频次和时限，落实监督性执法检查。根据工作计划安排，开展事中和事后期间的现场执法检查，依法依规开展行政处罚及查封扣押、行政强制等执法工作。</w:t>
      </w:r>
    </w:p>
    <w:p>
      <w:pPr>
        <w:pStyle w:val="4"/>
        <w:numPr>
          <w:ilvl w:val="0"/>
          <w:numId w:val="3"/>
        </w:numPr>
        <w:spacing w:line="560" w:lineRule="exact"/>
        <w:ind w:firstLineChars="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区生态环境监测站职责</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开展建设项目事后监管相关工作，按照要求的监管频次和时限，落实监督性检测</w:t>
      </w:r>
      <w:r>
        <w:rPr>
          <w:rFonts w:hint="eastAsia" w:ascii="仿宋_GB2312" w:hAnsi="仿宋_GB2312" w:eastAsia="仿宋_GB2312" w:cs="仿宋_GB2312"/>
          <w:b w:val="0"/>
          <w:bCs w:val="0"/>
          <w:color w:val="auto"/>
          <w:lang w:eastAsia="zh-CN"/>
        </w:rPr>
        <w:t>，</w:t>
      </w:r>
      <w:r>
        <w:rPr>
          <w:rFonts w:hint="eastAsia" w:ascii="仿宋_GB2312" w:hAnsi="仿宋_GB2312" w:eastAsia="仿宋_GB2312" w:cs="仿宋_GB2312"/>
          <w:b w:val="0"/>
          <w:bCs w:val="0"/>
          <w:color w:val="auto"/>
        </w:rPr>
        <w:t>为建设项目环保监管、执法工作提供科学依据。</w:t>
      </w:r>
    </w:p>
    <w:p>
      <w:pPr>
        <w:numPr>
          <w:ilvl w:val="0"/>
          <w:numId w:val="3"/>
        </w:numPr>
        <w:spacing w:line="560" w:lineRule="exact"/>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lang w:eastAsia="zh-CN"/>
        </w:rPr>
        <w:t>区生态环境局污防科职责</w:t>
      </w:r>
    </w:p>
    <w:p>
      <w:pPr>
        <w:numPr>
          <w:ilvl w:val="0"/>
          <w:numId w:val="0"/>
        </w:num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lang w:eastAsia="zh-CN"/>
        </w:rPr>
        <w:t>配合开展大气、噪声、固体废物、辐射类建设项目事中事后监管工作。</w:t>
      </w:r>
    </w:p>
    <w:p>
      <w:pPr>
        <w:numPr>
          <w:ilvl w:val="0"/>
          <w:numId w:val="3"/>
        </w:numPr>
        <w:spacing w:line="560" w:lineRule="exact"/>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区生态环境局生态科职责</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开展建设项目事后监管</w:t>
      </w:r>
      <w:r>
        <w:rPr>
          <w:rFonts w:hint="eastAsia" w:ascii="仿宋_GB2312" w:hAnsi="仿宋_GB2312" w:eastAsia="仿宋_GB2312" w:cs="仿宋_GB2312"/>
          <w:b w:val="0"/>
          <w:bCs w:val="0"/>
          <w:color w:val="auto"/>
          <w:lang w:eastAsia="zh-CN"/>
        </w:rPr>
        <w:t>、</w:t>
      </w:r>
      <w:r>
        <w:rPr>
          <w:rFonts w:hint="eastAsia" w:ascii="仿宋_GB2312" w:hAnsi="仿宋_GB2312" w:eastAsia="仿宋_GB2312" w:cs="仿宋_GB2312"/>
          <w:b w:val="0"/>
          <w:bCs w:val="0"/>
          <w:color w:val="auto"/>
        </w:rPr>
        <w:t>排污许可证制度执行工作。</w:t>
      </w:r>
    </w:p>
    <w:p>
      <w:pPr>
        <w:pStyle w:val="4"/>
        <w:numPr>
          <w:ilvl w:val="0"/>
          <w:numId w:val="3"/>
        </w:numPr>
        <w:spacing w:line="560" w:lineRule="exact"/>
        <w:ind w:firstLineChars="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乡镇、园区职责</w:t>
      </w:r>
    </w:p>
    <w:p>
      <w:pPr>
        <w:spacing w:line="560" w:lineRule="exact"/>
        <w:ind w:firstLine="640"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 w:val="0"/>
          <w:bCs w:val="0"/>
          <w:color w:val="auto"/>
        </w:rPr>
        <w:t>在区生态环境主管部门的指导下，结合网格化管理，对辖区内的建设项目进行现场检查，重点负责按照《管理办法》要求的监管频次对备案制项目（辐射类项目除外）的环境保护事后监管，发现存在环境违法违规行为的，应及时制止并向区生态环境主管部门报告。</w:t>
      </w:r>
    </w:p>
    <w:p>
      <w:pPr>
        <w:numPr>
          <w:ilvl w:val="0"/>
          <w:numId w:val="1"/>
        </w:numPr>
        <w:spacing w:line="560" w:lineRule="exact"/>
        <w:ind w:firstLine="640" w:firstLineChars="200"/>
        <w:rPr>
          <w:rFonts w:hint="eastAsia" w:ascii="黑体" w:hAnsi="黑体" w:eastAsia="黑体" w:cs="黑体"/>
          <w:b w:val="0"/>
          <w:bCs w:val="0"/>
          <w:color w:val="auto"/>
        </w:rPr>
      </w:pPr>
      <w:r>
        <w:rPr>
          <w:rFonts w:hint="eastAsia" w:ascii="黑体" w:hAnsi="黑体" w:eastAsia="黑体" w:cs="黑体"/>
          <w:b w:val="0"/>
          <w:bCs w:val="0"/>
          <w:color w:val="auto"/>
        </w:rPr>
        <w:t>工作要求</w:t>
      </w:r>
    </w:p>
    <w:p>
      <w:pPr>
        <w:spacing w:line="560" w:lineRule="exact"/>
        <w:ind w:firstLine="643"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Cs w:val="0"/>
          <w:color w:val="auto"/>
        </w:rPr>
        <w:t>提高监管科技水平。</w:t>
      </w:r>
      <w:r>
        <w:rPr>
          <w:rFonts w:hint="eastAsia" w:ascii="仿宋_GB2312" w:hAnsi="仿宋_GB2312" w:eastAsia="仿宋_GB2312" w:cs="仿宋_GB2312"/>
          <w:b w:val="0"/>
          <w:bCs w:val="0"/>
          <w:color w:val="auto"/>
        </w:rPr>
        <w:t>借助科技手段不断扩大污染源在线监测范围，引入第三方力量，充分利用大数据和信息化手段提升监管水平。</w:t>
      </w:r>
    </w:p>
    <w:p>
      <w:pPr>
        <w:spacing w:line="560" w:lineRule="exact"/>
        <w:ind w:firstLine="643" w:firstLineChars="200"/>
        <w:rPr>
          <w:rFonts w:ascii="仿宋_GB2312" w:hAnsi="仿宋_GB2312" w:eastAsia="仿宋_GB2312" w:cs="仿宋_GB2312"/>
          <w:b w:val="0"/>
          <w:bCs w:val="0"/>
          <w:color w:val="auto"/>
        </w:rPr>
      </w:pPr>
      <w:r>
        <w:rPr>
          <w:rFonts w:hint="eastAsia" w:ascii="仿宋_GB2312" w:hAnsi="仿宋_GB2312" w:eastAsia="仿宋_GB2312" w:cs="仿宋_GB2312"/>
          <w:bCs w:val="0"/>
          <w:color w:val="auto"/>
        </w:rPr>
        <w:t>提高公众参与水平。</w:t>
      </w:r>
      <w:r>
        <w:rPr>
          <w:rFonts w:hint="eastAsia" w:ascii="仿宋_GB2312" w:hAnsi="仿宋_GB2312" w:eastAsia="仿宋_GB2312" w:cs="仿宋_GB2312"/>
          <w:b w:val="0"/>
          <w:bCs w:val="0"/>
          <w:color w:val="auto"/>
        </w:rPr>
        <w:t>区生态环境局按照规定公开建设项目环境保护事中事后监管信息，采取措施鼓励环保志愿者及环保社会组织参与建设项目环境保护事中事后监管，畅通公众参与社会监督渠道，接受社会监督。</w:t>
      </w:r>
    </w:p>
    <w:p>
      <w:pPr>
        <w:spacing w:line="560" w:lineRule="exact"/>
        <w:ind w:firstLine="643" w:firstLineChars="200"/>
        <w:rPr>
          <w:rFonts w:hint="eastAsia" w:ascii="仿宋_GB2312" w:hAnsi="仿宋_GB2312" w:eastAsia="仿宋_GB2312" w:cs="仿宋_GB2312"/>
          <w:b w:val="0"/>
          <w:bCs w:val="0"/>
          <w:color w:val="auto"/>
        </w:rPr>
      </w:pPr>
      <w:r>
        <w:rPr>
          <w:rFonts w:hint="eastAsia" w:ascii="仿宋_GB2312" w:hAnsi="仿宋_GB2312" w:eastAsia="仿宋_GB2312" w:cs="仿宋_GB2312"/>
          <w:bCs w:val="0"/>
          <w:color w:val="auto"/>
        </w:rPr>
        <w:t>提高执法保障水平。</w:t>
      </w:r>
      <w:r>
        <w:rPr>
          <w:rFonts w:hint="eastAsia" w:ascii="仿宋_GB2312" w:hAnsi="仿宋_GB2312" w:eastAsia="仿宋_GB2312" w:cs="仿宋_GB2312"/>
          <w:b w:val="0"/>
          <w:bCs w:val="0"/>
          <w:color w:val="auto"/>
        </w:rPr>
        <w:t>事中事后监管各单位要强化业务培训，提高队伍业务能力和水平，要加强信息共享，深入开展联合执法，推进信用惩戒制度。</w:t>
      </w:r>
    </w:p>
    <w:p>
      <w:pPr>
        <w:spacing w:line="560" w:lineRule="exact"/>
        <w:ind w:firstLine="643" w:firstLineChars="200"/>
        <w:rPr>
          <w:rFonts w:hint="eastAsia" w:ascii="仿宋_GB2312" w:hAnsi="仿宋_GB2312" w:eastAsia="仿宋_GB2312" w:cs="仿宋_GB2312"/>
          <w:b w:val="0"/>
          <w:bCs w:val="0"/>
          <w:color w:val="auto"/>
          <w:lang w:eastAsia="zh-CN"/>
        </w:rPr>
      </w:pPr>
      <w:r>
        <w:rPr>
          <w:rFonts w:hint="eastAsia" w:ascii="仿宋_GB2312" w:hAnsi="仿宋_GB2312" w:eastAsia="仿宋_GB2312" w:cs="仿宋_GB2312"/>
          <w:bCs w:val="0"/>
          <w:color w:val="auto"/>
        </w:rPr>
        <w:t>提高宣传引导水平。</w:t>
      </w:r>
      <w:r>
        <w:rPr>
          <w:rFonts w:hint="eastAsia" w:ascii="仿宋_GB2312" w:hAnsi="仿宋_GB2312" w:eastAsia="仿宋_GB2312" w:cs="仿宋_GB2312"/>
          <w:b w:val="0"/>
          <w:bCs w:val="0"/>
          <w:color w:val="auto"/>
        </w:rPr>
        <w:t>做好对企事业单位、社会组织和第三方服务机构关于建设项目事中事后管理办法等环保律法法规的宣传和培训工作，引导相关责任方提高环境保护责任意识，坚守环境保护底线</w:t>
      </w:r>
      <w:r>
        <w:rPr>
          <w:rFonts w:hint="eastAsia" w:ascii="仿宋_GB2312" w:hAnsi="仿宋_GB2312" w:eastAsia="仿宋_GB2312" w:cs="仿宋_GB2312"/>
          <w:b w:val="0"/>
          <w:bCs w:val="0"/>
          <w:color w:val="auto"/>
          <w:lang w:eastAsia="zh-CN"/>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93F880"/>
    <w:multiLevelType w:val="singleLevel"/>
    <w:tmpl w:val="9993F880"/>
    <w:lvl w:ilvl="0" w:tentative="0">
      <w:start w:val="1"/>
      <w:numFmt w:val="chineseCounting"/>
      <w:suff w:val="nothing"/>
      <w:lvlText w:val="%1、"/>
      <w:lvlJc w:val="left"/>
      <w:rPr>
        <w:rFonts w:hint="eastAsia"/>
      </w:rPr>
    </w:lvl>
  </w:abstractNum>
  <w:abstractNum w:abstractNumId="1">
    <w:nsid w:val="EB48C2D0"/>
    <w:multiLevelType w:val="singleLevel"/>
    <w:tmpl w:val="EB48C2D0"/>
    <w:lvl w:ilvl="0" w:tentative="0">
      <w:start w:val="1"/>
      <w:numFmt w:val="chineseCounting"/>
      <w:suff w:val="nothing"/>
      <w:lvlText w:val="（%1）"/>
      <w:lvlJc w:val="left"/>
      <w:rPr>
        <w:rFonts w:hint="eastAsia"/>
      </w:rPr>
    </w:lvl>
  </w:abstractNum>
  <w:abstractNum w:abstractNumId="2">
    <w:nsid w:val="4A402F2E"/>
    <w:multiLevelType w:val="multilevel"/>
    <w:tmpl w:val="4A402F2E"/>
    <w:lvl w:ilvl="0" w:tentative="0">
      <w:start w:val="1"/>
      <w:numFmt w:val="japaneseCounting"/>
      <w:lvlText w:val="（%1）"/>
      <w:lvlJc w:val="left"/>
      <w:pPr>
        <w:ind w:left="1720" w:hanging="1080"/>
      </w:pPr>
      <w:rPr>
        <w:rFonts w:hint="eastAsia"/>
      </w:rPr>
    </w:lvl>
    <w:lvl w:ilvl="1" w:tentative="0">
      <w:start w:val="1"/>
      <w:numFmt w:val="lowerLetter"/>
      <w:lvlText w:val="%2)"/>
      <w:lvlJc w:val="left"/>
      <w:pPr>
        <w:ind w:left="1600" w:hanging="480"/>
      </w:pPr>
    </w:lvl>
    <w:lvl w:ilvl="2" w:tentative="0">
      <w:start w:val="1"/>
      <w:numFmt w:val="lowerRoman"/>
      <w:lvlText w:val="%3."/>
      <w:lvlJc w:val="right"/>
      <w:pPr>
        <w:ind w:left="2080" w:hanging="480"/>
      </w:pPr>
    </w:lvl>
    <w:lvl w:ilvl="3" w:tentative="0">
      <w:start w:val="1"/>
      <w:numFmt w:val="decimal"/>
      <w:lvlText w:val="%4."/>
      <w:lvlJc w:val="left"/>
      <w:pPr>
        <w:ind w:left="2560" w:hanging="480"/>
      </w:pPr>
    </w:lvl>
    <w:lvl w:ilvl="4" w:tentative="0">
      <w:start w:val="1"/>
      <w:numFmt w:val="lowerLetter"/>
      <w:lvlText w:val="%5)"/>
      <w:lvlJc w:val="left"/>
      <w:pPr>
        <w:ind w:left="3040" w:hanging="480"/>
      </w:pPr>
    </w:lvl>
    <w:lvl w:ilvl="5" w:tentative="0">
      <w:start w:val="1"/>
      <w:numFmt w:val="lowerRoman"/>
      <w:lvlText w:val="%6."/>
      <w:lvlJc w:val="right"/>
      <w:pPr>
        <w:ind w:left="3520" w:hanging="480"/>
      </w:pPr>
    </w:lvl>
    <w:lvl w:ilvl="6" w:tentative="0">
      <w:start w:val="1"/>
      <w:numFmt w:val="decimal"/>
      <w:lvlText w:val="%7."/>
      <w:lvlJc w:val="left"/>
      <w:pPr>
        <w:ind w:left="4000" w:hanging="480"/>
      </w:pPr>
    </w:lvl>
    <w:lvl w:ilvl="7" w:tentative="0">
      <w:start w:val="1"/>
      <w:numFmt w:val="lowerLetter"/>
      <w:lvlText w:val="%8)"/>
      <w:lvlJc w:val="left"/>
      <w:pPr>
        <w:ind w:left="4480" w:hanging="480"/>
      </w:pPr>
    </w:lvl>
    <w:lvl w:ilvl="8" w:tentative="0">
      <w:start w:val="1"/>
      <w:numFmt w:val="lowerRoman"/>
      <w:lvlText w:val="%9."/>
      <w:lvlJc w:val="right"/>
      <w:pPr>
        <w:ind w:left="4960" w:hanging="4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DE6678"/>
    <w:rsid w:val="02DE6678"/>
    <w:rsid w:val="57B169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b/>
      <w:bCs/>
      <w:sz w:val="32"/>
      <w:szCs w:val="3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styleId="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2020-05-06T08:48:00Z</dcterms:created>
  <dc:creator>肥猫Molly。</dc:creator>
  <cp:lastModifiedBy>肥猫Molly。</cp:lastModifiedBy>
  <dcterms:modified xsi:type="dcterms:W3CDTF">2020-05-06T08:48:54Z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