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drawing>
          <wp:inline distT="0" distB="0" distL="114300" distR="114300">
            <wp:extent cx="5385435" cy="5541010"/>
            <wp:effectExtent l="0" t="0" r="5715" b="2540"/>
            <wp:docPr id="5" name="图片 5" descr="00崇明区中兴镇202万亩耕地和永久基本农田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崇明区中兴镇202万亩耕地和永久基本农田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5435" cy="55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保护永久基本农田是我国的基本国策，根据《中华人民共和国土地管理法〉第三十四条之规定，现依法将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中兴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t>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域内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含中兴镇现代农业园区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202万亩耕地和永久基本农田（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中兴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t>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总计有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3.0711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万亩）的位置、范围向社会公告。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上海市202万亩耕地和永久基本农田划定情况：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6096000" cy="3429000"/>
            <wp:effectExtent l="0" t="0" r="0" b="0"/>
            <wp:docPr id="3" name="图片 1" descr="20220929155026059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0220929155026059518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上海市崇明区202万亩耕地和永久基本农田保护任务：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6096000" cy="3429000"/>
            <wp:effectExtent l="0" t="0" r="0" b="0"/>
            <wp:docPr id="2" name="图片 2" descr="20220929155104053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0929155104053634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上海市崇明区202万亩耕地和永久基本农田划定成果：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6096000" cy="3429000"/>
            <wp:effectExtent l="0" t="0" r="0" b="0"/>
            <wp:docPr id="4" name="图片 3" descr="20220929155116050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20220929155116050811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MjRmZjNhMmQwOWM5YmY0ZGJjNjk0MjY4MzRjNzAifQ=="/>
  </w:docVars>
  <w:rsids>
    <w:rsidRoot w:val="00000000"/>
    <w:rsid w:val="00CA6B5B"/>
    <w:rsid w:val="05A11DAC"/>
    <w:rsid w:val="11BF1C0B"/>
    <w:rsid w:val="1527422F"/>
    <w:rsid w:val="18205C9C"/>
    <w:rsid w:val="277B4024"/>
    <w:rsid w:val="29BC148F"/>
    <w:rsid w:val="2F947791"/>
    <w:rsid w:val="64B57151"/>
    <w:rsid w:val="66F9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</Words>
  <Characters>177</Characters>
  <Lines>0</Lines>
  <Paragraphs>0</Paragraphs>
  <TotalTime>7</TotalTime>
  <ScaleCrop>false</ScaleCrop>
  <LinksUpToDate>false</LinksUpToDate>
  <CharactersWithSpaces>180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10113</dc:creator>
  <cp:lastModifiedBy>小草君</cp:lastModifiedBy>
  <dcterms:modified xsi:type="dcterms:W3CDTF">2022-11-14T02:48:06Z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892CEBF49C1442F0AF94F78C87763DA1</vt:lpwstr>
  </property>
</Properties>
</file>