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hint="eastAsia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39</w:t>
      </w:r>
      <w:bookmarkStart w:id="0" w:name="_GoBack"/>
      <w:bookmarkEnd w:id="0"/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关于印发崇明区2023年绿色防控工作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实施方案的通知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各有关乡镇、现代农业园区开发公司：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市乡村振兴任务要求、市农业农村委每年下达任务要求，为推广蔬菜生产绿色防控技术，持续有效预防控制病虫危害和减少化学农药的使用，提升农产品质量安全，区农业农村委制定了《2023年崇明区绿色防控工作实施方案》。请各相关单位按照方案要求，落实好相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附件：2023年崇明区绿色防控工作实施方案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3200" w:firstLineChars="1000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上海市崇明区农业农村委员会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800" w:firstLineChars="15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2023年5月16日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2023年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崇明区绿色防控工作实施方案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沪农委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〔20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23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〕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25号、沪崇农规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〔20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22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〕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3号、沪崇农规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〔20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23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〕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1号、崇农技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〔20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23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</w:rPr>
        <w:t>〕</w:t>
      </w:r>
      <w:r>
        <w:rPr>
          <w:rFonts w:hint="eastAsia" w:ascii="仿宋_GB2312" w:eastAsia="仿宋_GB2312"/>
          <w:color w:val="000000"/>
          <w:w w:val="100"/>
          <w:sz w:val="32"/>
          <w:szCs w:val="32"/>
          <w:highlight w:val="none"/>
          <w:lang w:val="en-US" w:eastAsia="zh-CN"/>
        </w:rPr>
        <w:t>1号文件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要求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为推广蔬菜生产绿色防控技术，持续有效预防控制病虫危害和减少化学农药的使用，提升农产品质量安全，特制定本实施方案。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以保障蔬菜安全和有效供给为目标，以农业绿色发展为主线，以现代生态农业产业化为总抓手，依靠科技手段，推进蔬菜绿色防控技术体系，实现蔬菜产业的提质增效、绿色增收，促进可持续发展。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二、目标任务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构建以物理防治、理化诱控为主的绿色防控技术体系，建设2.6万亩蔬菜绿色防控集成示范基地，实现化学农药减量，确保地产蔬菜质量安全和生态环境安全。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三、实施范围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color w:val="000000"/>
          <w:sz w:val="32"/>
          <w:szCs w:val="32"/>
        </w:rPr>
        <w:t>在崇明区蔬菜绿色生产基地</w:t>
      </w:r>
      <w:r>
        <w:rPr>
          <w:rFonts w:ascii="仿宋_GB2312" w:hAnsi="仿宋_GB2312" w:eastAsia="仿宋_GB2312" w:cs="Times New Roman"/>
          <w:color w:val="000000"/>
          <w:sz w:val="32"/>
          <w:szCs w:val="32"/>
        </w:rPr>
        <w:t>中遴选</w:t>
      </w:r>
      <w:r>
        <w:rPr>
          <w:rFonts w:hint="eastAsia" w:ascii="仿宋_GB2312" w:hAnsi="仿宋_GB2312" w:eastAsia="仿宋_GB2312" w:cs="Times New Roman"/>
          <w:color w:val="000000"/>
          <w:sz w:val="32"/>
          <w:szCs w:val="32"/>
        </w:rPr>
        <w:t>，</w:t>
      </w:r>
      <w:r>
        <w:rPr>
          <w:rFonts w:ascii="仿宋_GB2312" w:hAnsi="仿宋_GB2312" w:eastAsia="仿宋_GB2312" w:cs="Times New Roman"/>
          <w:color w:val="000000"/>
          <w:sz w:val="32"/>
          <w:szCs w:val="32"/>
        </w:rPr>
        <w:t>上海市崇明蔬菜协会会员基地优先</w:t>
      </w:r>
      <w:r>
        <w:rPr>
          <w:rFonts w:hint="eastAsia" w:ascii="仿宋_GB2312" w:hAnsi="仿宋_GB2312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四、实施内容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</w:rPr>
        <w:t>（一）杀虫灯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利用害虫的趋光性，推广应用露地杀虫和大棚专用杀虫灯，诱杀甜菜夜蛾、斜纹夜蛾</w:t>
      </w:r>
      <w:r>
        <w:rPr>
          <w:rFonts w:hint="eastAsia" w:ascii="仿宋_GB2312" w:hAnsi="仿宋_GB2312" w:eastAsia="仿宋_GB2312" w:cs="仿宋_GB2312"/>
          <w:sz w:val="32"/>
          <w:szCs w:val="32"/>
        </w:rPr>
        <w:t>、小菜蛾、螟虫、金龟子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等趋光性害虫。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</w:rPr>
        <w:t>（二）色板诱杀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利用害虫的趋色性，采用全降解黄板和信息素全降解黄板，诱杀蚜虫、烟粉虱、蓟马、</w:t>
      </w:r>
      <w:r>
        <w:rPr>
          <w:rFonts w:hint="eastAsia" w:ascii="仿宋_GB2312" w:hAnsi="仿宋_GB2312" w:eastAsia="仿宋_GB2312" w:cs="仿宋_GB2312"/>
          <w:sz w:val="32"/>
          <w:szCs w:val="32"/>
        </w:rPr>
        <w:t>斑潜蝇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等小型蔬菜害虫。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</w:rPr>
        <w:t>（三）性息素诱集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利用昆虫对特殊气味（性息素）的趋性，采用夜蛾诱芯、黄曲条跳甲诱芯等诱杀甜菜夜蛾、斜纹夜蛾、黄曲条跳甲等害虫。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default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（四）蜜源植物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利用百日菊、波斯菊、硫华菊、二月兰等蜜源植物、趋避植物等品种，确保菜田生态系统生物多样性，恶化病虫害发生环境。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</w:rPr>
        <w:t>五、采购方式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农业农村委与区供销社签订委托合同，由区供销社组织采购。实施面积2.6万亩，补贴标准300元/亩，补贴资金780万元。其中，区级以上财政80%，镇级（园区）财政20%。区农业农村委按照“预拨+清算”的方式进行资金拨付，合同签订后30天内将预算资金的30%拨付至区供销社，采购事项完成后根据区供销社申请拨付至合同金额的70%，剩余30%部分按审计结果清算拨付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六、保障措施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（一）加强组织领导，落实资金保障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区农业农村委负责统筹协调工作，区农业技术部门提前做好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强化技术指导服务，把绿色防控技术各项工作落到实处。各乡镇（园区）</w:t>
      </w:r>
      <w:r>
        <w:rPr>
          <w:rFonts w:hint="eastAsia" w:ascii="仿宋_GB2312" w:hAnsi="仿宋_GB2312" w:eastAsia="仿宋_GB2312" w:cs="仿宋_GB2312"/>
          <w:sz w:val="32"/>
          <w:szCs w:val="32"/>
        </w:rPr>
        <w:t>及时掌握种植主体的生产需求，加强与区农业技术部门、区供销社沟通协作，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积极落实配套资金，确保各项工作有效落实。</w:t>
      </w:r>
      <w:r>
        <w:rPr>
          <w:rFonts w:hint="eastAsia" w:ascii="仿宋_GB2312" w:hAnsi="仿宋_GB2312" w:eastAsia="仿宋_GB2312" w:cs="仿宋_GB2312"/>
          <w:sz w:val="32"/>
          <w:szCs w:val="32"/>
        </w:rPr>
        <w:t>区供销社切实发挥好供销系统资源优势，提升农资供应的管控和服务能力，确保供应及时、有效。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000000"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（二）完善技术指导，确保推广效果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成立由区技术部门、乡镇（园区）、生产企业等单位参加的工作组和技术专家组，加强技术指导和服务，结合当地实际，针对各项绿色防控技术，开展技术应用、示范、培训、指导、绩效评价等工作，提高绿色防控应用的效果、效率和效益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（三）做好现场抽查，加强验收考核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区农业农村委和区技术部门对乡镇（园区）开展验收工作， 并抽取一定比例进行现场核查，确保绿色防控技术推广工作有效落实。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（四）严格档案记录，加强档案管理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各实施基地在推广应用过程中及时、精准做好绿色防控专用台帐的数据录入，并加强原始数据档案记录，特别是记录台账要做到基地全覆盖，所有档案确保真实、完整。</w:t>
      </w:r>
      <w: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  <w:t>要建立严格的项目资金管理制度，严格执行相关财政纪律，确保专款专用。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Times New Roman"/>
          <w:color w:val="000000"/>
          <w:sz w:val="32"/>
          <w:szCs w:val="32"/>
        </w:rPr>
        <w:t>附件：202</w:t>
      </w:r>
      <w:r>
        <w:rPr>
          <w:rFonts w:hint="eastAsia" w:ascii="仿宋_GB2312" w:hAnsi="仿宋_GB2312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Times New Roman"/>
          <w:color w:val="000000"/>
          <w:sz w:val="32"/>
          <w:szCs w:val="32"/>
        </w:rPr>
        <w:t>年绿色防控技术推广应用明细表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3200" w:firstLineChars="1000"/>
        <w:jc w:val="right"/>
        <w:textAlignment w:val="auto"/>
        <w:outlineLvl w:val="9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上海市崇明区农业农村委员会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4896" w:firstLineChars="1530"/>
        <w:jc w:val="both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sectPr>
          <w:headerReference r:id="rId4" w:type="default"/>
          <w:footerReference r:id="rId5" w:type="default"/>
          <w:pgSz w:w="11850" w:h="16783"/>
          <w:pgMar w:top="2098" w:right="1474" w:bottom="1984" w:left="1587" w:header="851" w:footer="992" w:gutter="0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docGrid w:type="lines" w:linePitch="312" w:charSpace="0"/>
        </w:sectPr>
      </w:pPr>
      <w:r>
        <w:rPr>
          <w:rFonts w:ascii="仿宋_GB2312" w:hAnsi="仿宋_GB2312" w:eastAsia="仿宋_GB2312" w:cs="仿宋_GB2312"/>
          <w:kern w:val="0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16日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2023年崇明区绿色防控技术推广应用明细表</w:t>
      </w:r>
    </w:p>
    <w:tbl>
      <w:tblPr>
        <w:tblStyle w:val="7"/>
        <w:tblW w:w="12731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3"/>
        <w:gridCol w:w="788"/>
        <w:gridCol w:w="413"/>
        <w:gridCol w:w="550"/>
        <w:gridCol w:w="404"/>
        <w:gridCol w:w="618"/>
        <w:gridCol w:w="536"/>
        <w:gridCol w:w="609"/>
        <w:gridCol w:w="729"/>
        <w:gridCol w:w="536"/>
        <w:gridCol w:w="535"/>
        <w:gridCol w:w="653"/>
        <w:gridCol w:w="872"/>
        <w:gridCol w:w="668"/>
        <w:gridCol w:w="670"/>
        <w:gridCol w:w="536"/>
        <w:gridCol w:w="619"/>
        <w:gridCol w:w="616"/>
        <w:gridCol w:w="907"/>
        <w:gridCol w:w="404"/>
        <w:gridCol w:w="5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tblHeader/>
          <w:jc w:val="center"/>
        </w:trPr>
        <w:tc>
          <w:tcPr>
            <w:tcW w:w="533" w:type="dxa"/>
            <w:vMerge w:val="restart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乡镇</w:t>
            </w:r>
          </w:p>
        </w:tc>
        <w:tc>
          <w:tcPr>
            <w:tcW w:w="788" w:type="dxa"/>
            <w:vMerge w:val="restart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资金小计</w:t>
            </w:r>
          </w:p>
        </w:tc>
        <w:tc>
          <w:tcPr>
            <w:tcW w:w="2521" w:type="dxa"/>
            <w:gridSpan w:val="5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灯诱</w:t>
            </w:r>
          </w:p>
        </w:tc>
        <w:tc>
          <w:tcPr>
            <w:tcW w:w="3934" w:type="dxa"/>
            <w:gridSpan w:val="6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性诱</w:t>
            </w:r>
          </w:p>
        </w:tc>
        <w:tc>
          <w:tcPr>
            <w:tcW w:w="4016" w:type="dxa"/>
            <w:gridSpan w:val="6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色诱</w:t>
            </w:r>
          </w:p>
        </w:tc>
        <w:tc>
          <w:tcPr>
            <w:tcW w:w="939" w:type="dxa"/>
            <w:gridSpan w:val="2"/>
            <w:vMerge w:val="restart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蜜源植物</w:t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(4种)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tblHeader/>
          <w:jc w:val="center"/>
        </w:trPr>
        <w:tc>
          <w:tcPr>
            <w:tcW w:w="533" w:type="dxa"/>
            <w:vMerge w:val="continue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8" w:type="dxa"/>
            <w:vMerge w:val="continue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3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露天杀虫灯</w:t>
            </w:r>
          </w:p>
        </w:tc>
        <w:tc>
          <w:tcPr>
            <w:tcW w:w="1022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大棚杀虫灯</w:t>
            </w:r>
          </w:p>
        </w:tc>
        <w:tc>
          <w:tcPr>
            <w:tcW w:w="536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维保</w:t>
            </w:r>
          </w:p>
        </w:tc>
        <w:tc>
          <w:tcPr>
            <w:tcW w:w="1338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夜蛾诱芯（套）</w:t>
            </w:r>
          </w:p>
        </w:tc>
        <w:tc>
          <w:tcPr>
            <w:tcW w:w="1071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跳甲诱芯</w:t>
            </w:r>
          </w:p>
        </w:tc>
        <w:tc>
          <w:tcPr>
            <w:tcW w:w="1525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夜蛾诱捕器（套）</w:t>
            </w:r>
          </w:p>
        </w:tc>
        <w:tc>
          <w:tcPr>
            <w:tcW w:w="1338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色板支架（套）</w:t>
            </w:r>
          </w:p>
        </w:tc>
        <w:tc>
          <w:tcPr>
            <w:tcW w:w="1155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全降解诱虫板</w:t>
            </w:r>
          </w:p>
        </w:tc>
        <w:tc>
          <w:tcPr>
            <w:tcW w:w="1523" w:type="dxa"/>
            <w:gridSpan w:val="2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食蝇信息素诱虫器</w:t>
            </w:r>
          </w:p>
        </w:tc>
        <w:tc>
          <w:tcPr>
            <w:tcW w:w="939" w:type="dxa"/>
            <w:gridSpan w:val="2"/>
            <w:vMerge w:val="continue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tblHeader/>
          <w:jc w:val="center"/>
        </w:trPr>
        <w:tc>
          <w:tcPr>
            <w:tcW w:w="533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元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公斤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长兴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480978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204000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25003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1660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26560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11285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24827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332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6640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6771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20313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16930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59255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16930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59255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55125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新村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18653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2849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3200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815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1793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488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1464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1220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4270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1222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4277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绿华</w:t>
            </w:r>
          </w:p>
        </w:tc>
        <w:tc>
          <w:tcPr>
            <w:tcW w:w="788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37340</w:t>
            </w:r>
          </w:p>
        </w:tc>
        <w:tc>
          <w:tcPr>
            <w:tcW w:w="413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8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2940</w:t>
            </w:r>
          </w:p>
        </w:tc>
        <w:tc>
          <w:tcPr>
            <w:tcW w:w="609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4800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1960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4312</w:t>
            </w:r>
          </w:p>
        </w:tc>
        <w:tc>
          <w:tcPr>
            <w:tcW w:w="65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1174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3522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2938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10283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2938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10283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三星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124846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22000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13600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14683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650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10400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4245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9339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2547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7641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6370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22295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6368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22288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庙镇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358723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119000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10319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6535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14377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3920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11760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9800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34300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9802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34307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624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114660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港西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412726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255000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24481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14400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6075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13365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3600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3643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10929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9108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31878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9108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31878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148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27195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城桥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212507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115500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4452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745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11920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4950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10890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149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2980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2970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8910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7426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25991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7424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25984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32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1163253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93500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506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860200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19108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17600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7615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16753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4400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4567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13701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11418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39963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11418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39963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316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58065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新河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153855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33000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8500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13600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11200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4730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10406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2800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2838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8514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7094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24829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7096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24836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88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16170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竖新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426181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5500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170000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20852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1250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8455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18601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5068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15204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12672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44352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12672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44352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448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82320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堡镇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480156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55000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102000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18374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33600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14320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31504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420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8400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8593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25779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21482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75187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21482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75187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55125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港沿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1331297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82500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323000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34804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7200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115200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49235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108317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1440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28800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29541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88623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73854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258489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73854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258489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33075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向化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830379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35267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6100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97600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41445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91179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1220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24400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24868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74604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62172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217602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62172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217602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55125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中兴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1488019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35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192500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8500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60176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9400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150400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64035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140877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1880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37600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38425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115275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96062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336217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96064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336224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600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110250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陈家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209063.5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27500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34000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6964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950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15200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6505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14311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190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3800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3907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11721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9768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34188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9767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34184.5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148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27195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东平</w:t>
            </w:r>
          </w:p>
        </w:tc>
        <w:tc>
          <w:tcPr>
            <w:tcW w:w="788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15057</w:t>
            </w:r>
          </w:p>
        </w:tc>
        <w:tc>
          <w:tcPr>
            <w:tcW w:w="413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5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8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4032</w:t>
            </w:r>
          </w:p>
        </w:tc>
        <w:tc>
          <w:tcPr>
            <w:tcW w:w="609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5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5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872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68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60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11025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园区</w:t>
            </w:r>
          </w:p>
        </w:tc>
        <w:tc>
          <w:tcPr>
            <w:tcW w:w="788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56964</w:t>
            </w:r>
          </w:p>
        </w:tc>
        <w:tc>
          <w:tcPr>
            <w:tcW w:w="413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</w:t>
            </w:r>
          </w:p>
        </w:tc>
        <w:tc>
          <w:tcPr>
            <w:tcW w:w="55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22000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8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29084</w:t>
            </w:r>
          </w:p>
        </w:tc>
        <w:tc>
          <w:tcPr>
            <w:tcW w:w="609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5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5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872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68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32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jc w:val="center"/>
        </w:trPr>
        <w:tc>
          <w:tcPr>
            <w:tcW w:w="53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7799997.5</w:t>
            </w:r>
          </w:p>
        </w:tc>
        <w:tc>
          <w:tcPr>
            <w:tcW w:w="41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118</w:t>
            </w:r>
          </w:p>
        </w:tc>
        <w:tc>
          <w:tcPr>
            <w:tcW w:w="55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649000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1244</w:t>
            </w:r>
          </w:p>
        </w:tc>
        <w:tc>
          <w:tcPr>
            <w:tcW w:w="61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2114800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326988</w:t>
            </w:r>
          </w:p>
        </w:tc>
        <w:tc>
          <w:tcPr>
            <w:tcW w:w="60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34255</w:t>
            </w:r>
          </w:p>
        </w:tc>
        <w:tc>
          <w:tcPr>
            <w:tcW w:w="72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548080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232205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510851</w:t>
            </w:r>
          </w:p>
        </w:tc>
        <w:tc>
          <w:tcPr>
            <w:tcW w:w="653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6851</w:t>
            </w:r>
          </w:p>
        </w:tc>
        <w:tc>
          <w:tcPr>
            <w:tcW w:w="87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137020</w:t>
            </w:r>
          </w:p>
        </w:tc>
        <w:tc>
          <w:tcPr>
            <w:tcW w:w="668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139320</w:t>
            </w:r>
          </w:p>
        </w:tc>
        <w:tc>
          <w:tcPr>
            <w:tcW w:w="6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417960</w:t>
            </w:r>
          </w:p>
        </w:tc>
        <w:tc>
          <w:tcPr>
            <w:tcW w:w="53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348314</w:t>
            </w:r>
          </w:p>
        </w:tc>
        <w:tc>
          <w:tcPr>
            <w:tcW w:w="61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1219099</w:t>
            </w:r>
          </w:p>
        </w:tc>
        <w:tc>
          <w:tcPr>
            <w:tcW w:w="61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348317</w:t>
            </w:r>
          </w:p>
        </w:tc>
        <w:tc>
          <w:tcPr>
            <w:tcW w:w="90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1219109.5</w:t>
            </w:r>
          </w:p>
        </w:tc>
        <w:tc>
          <w:tcPr>
            <w:tcW w:w="40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3576</w:t>
            </w:r>
          </w:p>
        </w:tc>
        <w:tc>
          <w:tcPr>
            <w:tcW w:w="53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657090</w:t>
            </w:r>
          </w:p>
        </w:tc>
      </w:tr>
    </w:tbl>
    <w:p>
      <w:pPr>
        <w:pStyle w:val="2"/>
        <w:rPr>
          <w:lang w:val="en-US" w:eastAsia="zh-CN"/>
        </w:rPr>
        <w:sectPr>
          <w:footerReference r:id="rId6" w:type="default"/>
          <w:pgSz w:w="16838" w:h="11906" w:orient="landscape"/>
          <w:pgMar w:top="2098" w:right="1474" w:bottom="1984" w:left="1587" w:header="851" w:footer="124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rPr>
          <w:lang w:val="en-US" w:eastAsia="zh-CN"/>
        </w:rPr>
      </w:pPr>
    </w:p>
    <w:tbl>
      <w:tblPr>
        <w:tblStyle w:val="7"/>
        <w:tblW w:w="9060" w:type="dxa"/>
        <w:jc w:val="center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0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委员会办公室 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16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  <w:outlineLvl w:val="9"/>
        <w:rPr>
          <w:lang w:val="en-US" w:eastAsia="zh-CN"/>
        </w:rPr>
      </w:pPr>
    </w:p>
    <w:sectPr>
      <w:pgSz w:w="11906" w:h="16838"/>
      <w:pgMar w:top="2098" w:right="1474" w:bottom="1984" w:left="1587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cs="Times New Roman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cs="Times New Roma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DOqXm5zwAAAAUB&#10;AAAPAAAAAAAAAAEAIAAAACIAAABkcnMvZG93bnJldi54bWxQSwECFAAUAAAACACHTuJAuMQpErIB&#10;AABZAwAADgAAAAAAAAABACAAAAAeAQAAZHJzL2Uyb0RvYy54bWxQSwUGAAAAAAYABgBZAQAAQgUA&#10;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cs="Times New Roma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326A2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5D06"/>
    <w:rsid w:val="009133B7"/>
    <w:rsid w:val="009421D7"/>
    <w:rsid w:val="00986EBD"/>
    <w:rsid w:val="0099392C"/>
    <w:rsid w:val="009A1E79"/>
    <w:rsid w:val="009A38E0"/>
    <w:rsid w:val="009B0560"/>
    <w:rsid w:val="009E5E2F"/>
    <w:rsid w:val="00AF7AE8"/>
    <w:rsid w:val="00BA4B06"/>
    <w:rsid w:val="00BA5C14"/>
    <w:rsid w:val="00BB5814"/>
    <w:rsid w:val="00BD591D"/>
    <w:rsid w:val="00BF1105"/>
    <w:rsid w:val="00C11B56"/>
    <w:rsid w:val="00C219BD"/>
    <w:rsid w:val="00C372DC"/>
    <w:rsid w:val="00C85251"/>
    <w:rsid w:val="00C945AA"/>
    <w:rsid w:val="00CB6736"/>
    <w:rsid w:val="00D57723"/>
    <w:rsid w:val="00D93834"/>
    <w:rsid w:val="00E13CAF"/>
    <w:rsid w:val="00E30AC2"/>
    <w:rsid w:val="00E748FD"/>
    <w:rsid w:val="00E76BAF"/>
    <w:rsid w:val="00ED5A2E"/>
    <w:rsid w:val="00F207B9"/>
    <w:rsid w:val="00F25488"/>
    <w:rsid w:val="00F31E6B"/>
    <w:rsid w:val="00FB10D2"/>
    <w:rsid w:val="00FC5045"/>
    <w:rsid w:val="074B6C7D"/>
    <w:rsid w:val="07986C27"/>
    <w:rsid w:val="085C75CA"/>
    <w:rsid w:val="088C3BBA"/>
    <w:rsid w:val="0E1B71D9"/>
    <w:rsid w:val="125F0E4A"/>
    <w:rsid w:val="12C25BF5"/>
    <w:rsid w:val="145B5532"/>
    <w:rsid w:val="22DE6C8D"/>
    <w:rsid w:val="2ABB21C3"/>
    <w:rsid w:val="3171476F"/>
    <w:rsid w:val="34F77DF8"/>
    <w:rsid w:val="39E61519"/>
    <w:rsid w:val="3BF0012E"/>
    <w:rsid w:val="3C881EC8"/>
    <w:rsid w:val="401F40F2"/>
    <w:rsid w:val="42E43A3B"/>
    <w:rsid w:val="430D4C6B"/>
    <w:rsid w:val="4B93267E"/>
    <w:rsid w:val="4E2A219E"/>
    <w:rsid w:val="50C53252"/>
    <w:rsid w:val="52313438"/>
    <w:rsid w:val="523A6313"/>
    <w:rsid w:val="5363107C"/>
    <w:rsid w:val="53EF3FE5"/>
    <w:rsid w:val="5A9F69C2"/>
    <w:rsid w:val="60FD3817"/>
    <w:rsid w:val="61F32D38"/>
    <w:rsid w:val="62314B77"/>
    <w:rsid w:val="63404068"/>
    <w:rsid w:val="63487AB8"/>
    <w:rsid w:val="650F2AEB"/>
    <w:rsid w:val="6A9D79F0"/>
    <w:rsid w:val="6B755BB7"/>
    <w:rsid w:val="7002039C"/>
    <w:rsid w:val="71A8161F"/>
    <w:rsid w:val="74A0466C"/>
    <w:rsid w:val="75BE5E21"/>
    <w:rsid w:val="78E66175"/>
    <w:rsid w:val="78E94955"/>
    <w:rsid w:val="79D67AD5"/>
    <w:rsid w:val="7A3361A8"/>
    <w:rsid w:val="7C00503C"/>
    <w:rsid w:val="7FDE03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5"/>
    <w:link w:val="4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5"/>
    <w:link w:val="2"/>
    <w:qFormat/>
    <w:uiPriority w:val="99"/>
    <w:rPr>
      <w:kern w:val="2"/>
      <w:sz w:val="18"/>
      <w:szCs w:val="18"/>
    </w:rPr>
  </w:style>
  <w:style w:type="character" w:customStyle="1" w:styleId="11">
    <w:name w:val="批注框文本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12">
    <w:name w:val="font11"/>
    <w:basedOn w:val="5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3">
    <w:name w:val="font2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30</Words>
  <Characters>175</Characters>
  <Lines>1</Lines>
  <Paragraphs>1</Paragraphs>
  <TotalTime>15</TotalTime>
  <ScaleCrop>false</ScaleCrop>
  <LinksUpToDate>false</LinksUpToDate>
  <CharactersWithSpaces>204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2017-08-14T09:04:00Z</dcterms:created>
  <dc:creator>cm</dc:creator>
  <cp:lastModifiedBy>THE NEXT</cp:lastModifiedBy>
  <cp:lastPrinted>2022-11-22T01:11:00Z</cp:lastPrinted>
  <dcterms:modified xsi:type="dcterms:W3CDTF">2023-05-18T07:34:26Z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