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ind w:firstLine="567"/>
        <w:rPr>
          <w:rFonts w:hint="eastAsia" w:ascii="仿宋_GB2312"/>
        </w:rPr>
      </w:pPr>
      <w:r>
        <w:rPr>
          <w:rFonts w:hint="eastAsia" w:ascii="仿宋_GB2312"/>
        </w:rPr>
        <mc:AlternateContent>
          <mc:Choice Requires="wps">
            <w:drawing>
              <wp:anchor distT="0" distB="0" distL="114300" distR="114300" simplePos="0" relativeHeight="251678720" behindDoc="0" locked="0" layoutInCell="0" hidden="1" allowOverlap="1">
                <wp:simplePos x="0" y="0"/>
                <wp:positionH relativeFrom="page">
                  <wp:posOffset>-127000</wp:posOffset>
                </wp:positionH>
                <wp:positionV relativeFrom="page">
                  <wp:posOffset>127000</wp:posOffset>
                </wp:positionV>
                <wp:extent cx="63500" cy="63500"/>
                <wp:effectExtent l="0" t="0" r="0" b="0"/>
                <wp:wrapNone/>
                <wp:docPr id="3" name="矩形 3" descr="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"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pPr>
                          </w:p>
                        </w:txbxContent>
                      </wps:txbx>
                      <wps:bodyPr vert="horz" anchor="t" upright="1"/>
                    </wps:wsp>
                  </a:graphicData>
                </a:graphic>
              </wp:anchor>
            </w:drawing>
          </mc:Choice>
          <mc:Fallback>
            <w:pict>
              <v:rect id="_x0000_s1026" o:spid="_x0000_s1026" o:spt="1" alt="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" style="position:absolute;left:0pt;margin-left:-10pt;margin-top:10pt;height:5pt;width:5pt;mso-position-horizontal-relative:page;mso-position-vertical-relative:page;visibility:hidden;z-index:251678720;mso-width-relative:page;mso-height-relative:page;" fillcolor="#FFFFFF" filled="t" stroked="t" coordsize="21600,21600" o:allowincell="f" o:gfxdata="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">
                <v:fill on="t" focussize="0,0"/>
                <v:stroke color="#000000" joinstyle="miter"/>
                <v:imagedata o:title=""/>
                <o:lock v:ext="edit" aspectratio="f"/>
                <v:textbox>
                  <w:txbxContent>
                    <w:p>
                      <w:pPr>
                        <w:jc w:val="center"/>
                      </w:pPr>
                    </w:p>
                  </w:txbxContent>
                </v:textbox>
              </v:rect>
            </w:pict>
          </mc:Fallback>
        </mc:AlternateConten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eastAsia="方正小标宋简体"/>
          <w:color w:val="auto"/>
          <w:spacing w:val="-28"/>
          <w:sz w:val="44"/>
          <w:szCs w:val="44"/>
        </w:rPr>
      </w:pPr>
      <w:bookmarkStart w:id="0" w:name="_GoBack"/>
      <w:bookmarkEnd w:id="0"/>
      <w:r>
        <w:rPr>
          <w:rFonts w:hint="eastAsia" w:eastAsia="方正小标宋简体"/>
          <w:color w:val="auto"/>
          <w:spacing w:val="-28"/>
          <w:sz w:val="44"/>
          <w:szCs w:val="44"/>
        </w:rPr>
        <w:t>崇明区</w:t>
      </w:r>
      <w:r>
        <w:rPr>
          <w:rFonts w:eastAsia="方正小标宋简体"/>
          <w:color w:val="auto"/>
          <w:spacing w:val="-28"/>
          <w:sz w:val="44"/>
          <w:szCs w:val="44"/>
        </w:rPr>
        <w:t>高层建筑重大火灾风险专项整治工作方案</w:t>
      </w:r>
    </w:p>
    <w:p>
      <w:pPr>
        <w:keepNext w:val="0"/>
        <w:keepLines w:val="0"/>
        <w:pageBreakBefore w:val="0"/>
        <w:widowControl w:val="0"/>
        <w:kinsoku/>
        <w:wordWrap/>
        <w:overflowPunct/>
        <w:topLinePunct w:val="0"/>
        <w:autoSpaceDE/>
        <w:autoSpaceDN/>
        <w:bidi w:val="0"/>
        <w:adjustRightInd/>
        <w:spacing w:line="560" w:lineRule="exact"/>
        <w:ind w:firstLine="880" w:firstLineChars="200"/>
        <w:textAlignment w:val="auto"/>
        <w:rPr>
          <w:rFonts w:eastAsia="方正小标宋简体"/>
          <w:color w:val="auto"/>
          <w:sz w:val="44"/>
          <w:szCs w:val="44"/>
        </w:rPr>
      </w:pP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为深刻汲取近年来国内外高层建筑火灾事故教训，提升消防安全治理能力水平，根据《国务院安委会办公室关于开展高层建筑重大火灾风险专项整治的通知》和市安委办《高层建筑重大火灾风险专项整治工作方案》要求，按照上级领导批示指示精神和消防安全专项整治三年行动实施方案部署安排，区安委办决定自即日起至2023年6月在本区集中开展高层建筑重大火灾风险专项整治。具体工作方案如下：</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黑体" w:hAnsi="黑体" w:eastAsia="黑体"/>
          <w:color w:val="auto"/>
        </w:rPr>
      </w:pPr>
      <w:r>
        <w:rPr>
          <w:rFonts w:ascii="黑体" w:hAnsi="黑体" w:eastAsia="黑体"/>
          <w:color w:val="auto"/>
          <w:kern w:val="0"/>
        </w:rPr>
        <w:t>一、目标任务</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认真贯彻落实习近平总书记关于安全生产和加强城市消防安全工作的重要指示精神，坚持人民至上、生命至上，按照政府统一领导、部门依法监管、单位全面负责、公民积极参与的原则，结合本</w:t>
      </w:r>
      <w:r>
        <w:rPr>
          <w:rFonts w:hint="eastAsia" w:ascii="仿宋_GB2312"/>
          <w:color w:val="auto"/>
        </w:rPr>
        <w:t>区</w:t>
      </w:r>
      <w:r>
        <w:rPr>
          <w:rFonts w:ascii="仿宋_GB2312"/>
          <w:color w:val="auto"/>
        </w:rPr>
        <w:t>消防安全大检查工作部署要求，聚焦高层建筑消防设施、安全疏散、应急处置、主体责任等方面存在的突出问题和重大风险，在前期治理工作基础上，全面组织排查、分级分类评估、精准严格整改、标本兼治提升，健全完善高层建筑火灾风险分级管控和隐患排查治理双重预防机制，坚决防范遏制群死群伤重特大火灾事故，确保人民生命财产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eastAsia="方正黑体_GBK"/>
          <w:color w:val="auto"/>
          <w:kern w:val="0"/>
        </w:rPr>
      </w:pPr>
      <w:r>
        <w:rPr>
          <w:rFonts w:ascii="黑体" w:hAnsi="黑体" w:eastAsia="黑体"/>
          <w:color w:val="auto"/>
          <w:kern w:val="0"/>
        </w:rPr>
        <w:t>二、重点范围</w:t>
      </w:r>
      <w:r>
        <w:rPr>
          <w:rFonts w:eastAsia="方正黑体_GBK"/>
          <w:color w:val="auto"/>
          <w:kern w:val="0"/>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eastAsia="方正黑体_GBK"/>
          <w:color w:val="auto"/>
          <w:kern w:val="0"/>
        </w:rPr>
      </w:pPr>
      <w:r>
        <w:rPr>
          <w:rFonts w:ascii="仿宋_GB2312"/>
          <w:color w:val="auto"/>
        </w:rPr>
        <w:t>此次整治的重点对象为可能发生群死群伤火灾事故的既有老旧高层商住混合体、老旧高层住宅建筑、高层公共建筑（以下统称</w:t>
      </w:r>
      <w:r>
        <w:rPr>
          <w:rFonts w:hint="eastAsia" w:ascii="仿宋_GB2312"/>
          <w:color w:val="auto"/>
        </w:rPr>
        <w:t>3</w:t>
      </w:r>
      <w:r>
        <w:rPr>
          <w:rFonts w:ascii="仿宋_GB2312"/>
          <w:color w:val="auto"/>
        </w:rPr>
        <w:t>类重点对象），重点整治下列情形：</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楷体_GB2312" w:eastAsia="楷体_GB2312"/>
          <w:b/>
          <w:bCs/>
          <w:color w:val="auto"/>
          <w:kern w:val="0"/>
        </w:rPr>
      </w:pPr>
      <w:r>
        <w:rPr>
          <w:rFonts w:hint="eastAsia" w:ascii="楷体_GB2312" w:eastAsia="楷体_GB2312"/>
          <w:b/>
          <w:bCs/>
          <w:color w:val="auto"/>
          <w:kern w:val="0"/>
        </w:rPr>
        <w:t>（一）共性突出风险。</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1.同一建筑有两个及以上业主、使用人的，未委托物业服务企业或未明确统一管理人，对共有部分的消防安全实行统一管理；承包、租赁或者委托经营的，未明确各方消防安全责任。</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2.违规进行电焊、气焊等明火作业；违规使用瓶装液化石油气；燃气管线、燃气用具的敷设、安装等不符合相关安全技术标准；电动自行车或其蓄电池违规在建筑内停放或充电。</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3.建筑外墙采用易燃可燃保温材料。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4.屋面、地下室等区域使用易燃可燃夹芯彩钢板搭建临时用房；违规设置群租房。</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5.竖向管井和电缆桥架未按要求进行防火封堵。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6.占用、堵塞、封闭疏散通道、安全出口、消防车通道和消防车登高操作场地。</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7.室内消火栓系统、自动灭火系统、火灾自动报警系统、机械防排烟系统等被擅自拆除或者损坏停用。</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楷体_GB2312" w:eastAsia="楷体_GB2312"/>
          <w:b/>
          <w:bCs/>
          <w:color w:val="auto"/>
          <w:kern w:val="0"/>
        </w:rPr>
      </w:pPr>
      <w:r>
        <w:rPr>
          <w:rFonts w:ascii="楷体_GB2312" w:eastAsia="楷体_GB2312"/>
          <w:b/>
          <w:bCs/>
          <w:color w:val="auto"/>
          <w:kern w:val="0"/>
        </w:rPr>
        <w:t>（二）2000年底前建成的老旧高层商住混合体、老旧高层住宅突出风险。</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1.无物业服务企业、无管理单位，消防安全无人管理。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2.公共区域电气线路绝缘老化、私拉乱接现象严重。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3.住宅部分与非住宅部分防火分隔不到位，共用疏散楼梯。</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4.室内（外）消火栓无水或水压不足。</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5.违规设置人员密集场所、仓储场所。</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楷体_GB2312" w:hAnsi="Times New Roman" w:eastAsia="楷体_GB2312" w:cs="Times New Roman"/>
          <w:b/>
          <w:bCs/>
          <w:color w:val="auto"/>
          <w:kern w:val="0"/>
        </w:rPr>
      </w:pPr>
      <w:r>
        <w:rPr>
          <w:rFonts w:ascii="楷体_GB2312" w:hAnsi="Times New Roman" w:eastAsia="楷体_GB2312" w:cs="Times New Roman"/>
          <w:b/>
          <w:bCs/>
          <w:color w:val="auto"/>
          <w:kern w:val="0"/>
        </w:rPr>
        <w:t>（三）高层公共建筑突出风险。</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1.电缆井内电气线路敷设不规范。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2.违规储存、经营、使用易燃易爆危险品。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3.违规使用聚氨酯、聚苯乙烯等易燃可燃材料装饰装修。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4.避难层（间）被占用或擅自改变用途。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 xml:space="preserve">5.分区消防供水设施未保持完好有效。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6.未按标准要求建设专职消防队、微型消防站。</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各相关乡镇结合本地区高层建筑风险特点，进一步细化整治重点、拓展整治范围。</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黑体" w:hAnsi="黑体" w:eastAsia="黑体"/>
          <w:color w:val="auto"/>
          <w:kern w:val="0"/>
        </w:rPr>
      </w:pPr>
      <w:r>
        <w:rPr>
          <w:rFonts w:ascii="黑体" w:hAnsi="黑体" w:eastAsia="黑体"/>
          <w:color w:val="auto"/>
          <w:kern w:val="0"/>
        </w:rPr>
        <w:t>三、整治措施</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eastAsia="方正仿宋_GBK"/>
          <w:color w:val="auto"/>
        </w:rPr>
      </w:pPr>
      <w:r>
        <w:rPr>
          <w:rFonts w:ascii="楷体_GB2312" w:eastAsia="楷体_GB2312"/>
          <w:b/>
          <w:bCs/>
          <w:color w:val="auto"/>
          <w:kern w:val="0"/>
        </w:rPr>
        <w:t>（一）组织排查评估。</w:t>
      </w:r>
      <w:r>
        <w:rPr>
          <w:rFonts w:ascii="仿宋_GB2312"/>
          <w:color w:val="auto"/>
        </w:rPr>
        <w:t>老旧高层住宅建筑</w:t>
      </w:r>
      <w:r>
        <w:rPr>
          <w:rFonts w:hint="eastAsia" w:ascii="仿宋_GB2312"/>
          <w:color w:val="auto"/>
        </w:rPr>
        <w:t>由属地乡镇结合本区已开展的</w:t>
      </w:r>
      <w:r>
        <w:rPr>
          <w:rFonts w:ascii="仿宋_GB2312"/>
          <w:color w:val="auto"/>
        </w:rPr>
        <w:t>高层住宅建筑</w:t>
      </w:r>
      <w:r>
        <w:rPr>
          <w:rFonts w:hint="eastAsia" w:ascii="仿宋_GB2312"/>
          <w:color w:val="auto"/>
        </w:rPr>
        <w:t>消防设施</w:t>
      </w:r>
      <w:r>
        <w:rPr>
          <w:rFonts w:ascii="仿宋_GB2312"/>
          <w:color w:val="auto"/>
        </w:rPr>
        <w:t>排查整治</w:t>
      </w:r>
      <w:r>
        <w:rPr>
          <w:rFonts w:hint="eastAsia" w:ascii="仿宋_GB2312"/>
          <w:color w:val="auto"/>
        </w:rPr>
        <w:t>工作，督促物业服务企业按要求落实小区类型确认和自查，会同消防、公安、房管等部门和居（村）委会等组织开展复查。</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区消防</w:t>
      </w:r>
      <w:r>
        <w:rPr>
          <w:rFonts w:hint="eastAsia" w:ascii="仿宋_GB2312"/>
          <w:color w:val="auto"/>
        </w:rPr>
        <w:t>救援</w:t>
      </w:r>
      <w:r>
        <w:rPr>
          <w:rFonts w:ascii="仿宋_GB2312"/>
          <w:color w:val="auto"/>
        </w:rPr>
        <w:t>支队</w:t>
      </w:r>
      <w:r>
        <w:rPr>
          <w:rFonts w:hint="eastAsia" w:ascii="仿宋_GB2312"/>
          <w:color w:val="auto"/>
        </w:rPr>
        <w:t>根据</w:t>
      </w:r>
      <w:r>
        <w:rPr>
          <w:rFonts w:ascii="仿宋_GB2312"/>
          <w:color w:val="auto"/>
        </w:rPr>
        <w:t>市消防救援总队大数据应用平台</w:t>
      </w:r>
      <w:r>
        <w:rPr>
          <w:rFonts w:hint="eastAsia" w:ascii="仿宋_GB2312"/>
          <w:color w:val="auto"/>
        </w:rPr>
        <w:t>内</w:t>
      </w:r>
      <w:r>
        <w:rPr>
          <w:rFonts w:ascii="仿宋_GB2312"/>
          <w:color w:val="auto"/>
        </w:rPr>
        <w:t>老旧高层商住混合体、高层公共建筑</w:t>
      </w:r>
      <w:r>
        <w:rPr>
          <w:rFonts w:hint="eastAsia" w:ascii="仿宋_GB2312"/>
          <w:color w:val="auto"/>
        </w:rPr>
        <w:t>相关数据，</w:t>
      </w:r>
      <w:r>
        <w:rPr>
          <w:rFonts w:ascii="仿宋_GB2312"/>
          <w:color w:val="auto"/>
        </w:rPr>
        <w:t>牵头对高层建筑地址、数量进行核对，及时查漏补缺，形成底数清册。各相关部门</w:t>
      </w:r>
      <w:r>
        <w:rPr>
          <w:rFonts w:hint="eastAsia" w:ascii="仿宋_GB2312"/>
          <w:color w:val="auto"/>
        </w:rPr>
        <w:t>和区消防救援支队</w:t>
      </w:r>
      <w:r>
        <w:rPr>
          <w:rFonts w:ascii="仿宋_GB2312"/>
          <w:color w:val="auto"/>
        </w:rPr>
        <w:t>督促指导高层建筑物业服务企业（管理使用单位）于2022年9月底前，对照突出风险完成自查自纠和整改工作，对不能立即整改的要制定整改计划、明确整改责任，相关工作情况书面报区消防支队备案。消防</w:t>
      </w:r>
      <w:r>
        <w:rPr>
          <w:rFonts w:hint="eastAsia" w:ascii="仿宋_GB2312"/>
          <w:color w:val="auto"/>
        </w:rPr>
        <w:t>救援</w:t>
      </w:r>
      <w:r>
        <w:rPr>
          <w:rFonts w:ascii="仿宋_GB2312"/>
          <w:color w:val="auto"/>
        </w:rPr>
        <w:t>支队要针对</w:t>
      </w:r>
      <w:r>
        <w:rPr>
          <w:rFonts w:hint="eastAsia" w:ascii="仿宋_GB2312"/>
          <w:color w:val="auto"/>
        </w:rPr>
        <w:t>3</w:t>
      </w:r>
      <w:r>
        <w:rPr>
          <w:rFonts w:ascii="仿宋_GB2312"/>
          <w:color w:val="auto"/>
        </w:rPr>
        <w:t>类重点对象，围绕突出风险情形，报请</w:t>
      </w:r>
      <w:r>
        <w:rPr>
          <w:rFonts w:hint="eastAsia" w:ascii="仿宋_GB2312"/>
          <w:color w:val="auto"/>
        </w:rPr>
        <w:t>区</w:t>
      </w:r>
      <w:r>
        <w:rPr>
          <w:rFonts w:ascii="仿宋_GB2312"/>
          <w:color w:val="auto"/>
        </w:rPr>
        <w:t>安全生产委员会分级分类组织开展消防安全风险评估，区级层面负责组织老旧高层商住混合体、高层公共建筑评估工作，</w:t>
      </w:r>
      <w:r>
        <w:rPr>
          <w:rFonts w:hint="eastAsia" w:ascii="仿宋_GB2312"/>
          <w:color w:val="auto"/>
        </w:rPr>
        <w:t>乡镇</w:t>
      </w:r>
      <w:r>
        <w:rPr>
          <w:rFonts w:ascii="仿宋_GB2312"/>
          <w:color w:val="auto"/>
        </w:rPr>
        <w:t>层面负责老旧高层住宅建筑评估工作。在分类分级评估基础上，按照“社会单位自主查、专家团队集中查”的工作模式，报请</w:t>
      </w:r>
      <w:r>
        <w:rPr>
          <w:rFonts w:hint="eastAsia" w:ascii="仿宋_GB2312"/>
          <w:color w:val="auto"/>
        </w:rPr>
        <w:t>区</w:t>
      </w:r>
      <w:r>
        <w:rPr>
          <w:rFonts w:ascii="仿宋_GB2312"/>
          <w:color w:val="auto"/>
        </w:rPr>
        <w:t>安全生产委员会组织房管、公安、消防等部门和社会单位逐个地区、逐栋建筑排查检查，建立建筑底数台账和问题隐患清单。</w:t>
      </w:r>
      <w:r>
        <w:rPr>
          <w:rFonts w:hint="eastAsia" w:ascii="仿宋_GB2312"/>
          <w:color w:val="auto"/>
          <w:lang w:eastAsia="zh-CN"/>
        </w:rPr>
        <w:t>区</w:t>
      </w:r>
      <w:r>
        <w:rPr>
          <w:rFonts w:ascii="仿宋_GB2312"/>
          <w:color w:val="auto"/>
        </w:rPr>
        <w:t>消防</w:t>
      </w:r>
      <w:r>
        <w:rPr>
          <w:rFonts w:hint="eastAsia" w:ascii="仿宋_GB2312"/>
          <w:color w:val="auto"/>
          <w:lang w:eastAsia="zh-CN"/>
        </w:rPr>
        <w:t>救援</w:t>
      </w:r>
      <w:r>
        <w:rPr>
          <w:rFonts w:ascii="仿宋_GB2312"/>
          <w:color w:val="auto"/>
        </w:rPr>
        <w:t>支队负责填报《老旧高层商住混合体、高层公共建筑排查情况登记表》</w:t>
      </w:r>
      <w:r>
        <w:rPr>
          <w:rFonts w:hint="eastAsia" w:ascii="仿宋_GB2312"/>
          <w:color w:val="auto"/>
        </w:rPr>
        <w:t>、</w:t>
      </w:r>
      <w:r>
        <w:rPr>
          <w:rFonts w:ascii="仿宋_GB2312"/>
          <w:color w:val="auto"/>
        </w:rPr>
        <w:t>《高层建筑排查问题隐患、整治措施、责任单位汇总清单》（附件1、2），相关信息同步录入全市高层建筑消防安全数据采集系统。</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仿宋_GB2312"/>
          <w:color w:val="auto"/>
        </w:rPr>
      </w:pPr>
      <w:r>
        <w:rPr>
          <w:rFonts w:ascii="楷体_GB2312" w:eastAsia="楷体_GB2312"/>
          <w:b/>
          <w:bCs/>
          <w:color w:val="auto"/>
          <w:kern w:val="0"/>
        </w:rPr>
        <w:t>（二）严格问题整改。</w:t>
      </w:r>
      <w:r>
        <w:rPr>
          <w:rFonts w:ascii="仿宋_GB2312"/>
          <w:color w:val="auto"/>
        </w:rPr>
        <w:t>各</w:t>
      </w:r>
      <w:r>
        <w:rPr>
          <w:rFonts w:hint="eastAsia" w:ascii="仿宋_GB2312"/>
          <w:color w:val="auto"/>
        </w:rPr>
        <w:t>乡镇</w:t>
      </w:r>
      <w:r>
        <w:rPr>
          <w:rFonts w:ascii="仿宋_GB2312"/>
          <w:color w:val="auto"/>
        </w:rPr>
        <w:t>、各相关部门要针对排查检查发现的问题隐患，要明确隐患整改主体责任和监管责任，按照先急后缓、标本兼治的原则，督促高层建筑业主单位（业主委员会）、管理使用单位、物业服务企业等按计划推进落实隐患整改。针对能够当场改正的一般问题隐患，应当督促立即整改；针对问题隐患反复或整改难度较大的，要建立</w:t>
      </w:r>
      <w:r>
        <w:rPr>
          <w:rFonts w:hint="eastAsia" w:ascii="仿宋_GB2312"/>
          <w:color w:val="auto"/>
        </w:rPr>
        <w:t>区</w:t>
      </w:r>
      <w:r>
        <w:rPr>
          <w:rFonts w:ascii="仿宋_GB2312"/>
          <w:color w:val="auto"/>
        </w:rPr>
        <w:t>、</w:t>
      </w:r>
      <w:r>
        <w:rPr>
          <w:rFonts w:hint="eastAsia" w:ascii="仿宋_GB2312"/>
          <w:color w:val="auto"/>
        </w:rPr>
        <w:t>乡镇</w:t>
      </w:r>
      <w:r>
        <w:rPr>
          <w:rFonts w:ascii="仿宋_GB2312"/>
          <w:color w:val="auto"/>
        </w:rPr>
        <w:t>、</w:t>
      </w:r>
      <w:r>
        <w:rPr>
          <w:rFonts w:hint="eastAsia" w:ascii="仿宋_GB2312"/>
          <w:color w:val="auto"/>
          <w:lang w:eastAsia="zh-CN"/>
        </w:rPr>
        <w:t>村（居）</w:t>
      </w:r>
      <w:r>
        <w:rPr>
          <w:rFonts w:hint="eastAsia" w:ascii="仿宋_GB2312"/>
          <w:color w:val="auto"/>
        </w:rPr>
        <w:t>委</w:t>
      </w:r>
      <w:r>
        <w:rPr>
          <w:rFonts w:ascii="仿宋_GB2312"/>
          <w:color w:val="auto"/>
        </w:rPr>
        <w:t>三级综合治理工作机制，</w:t>
      </w:r>
      <w:r>
        <w:rPr>
          <w:rFonts w:hint="eastAsia" w:ascii="仿宋_GB2312"/>
          <w:color w:val="auto"/>
        </w:rPr>
        <w:t>各级通过组织专题研究、落实责任包干、动用住宅专项维修资金、依法组织代为维修、统筹纳入政府民生实事项目等措施，推动隐患整改。</w:t>
      </w:r>
      <w:r>
        <w:rPr>
          <w:rFonts w:ascii="仿宋_GB2312"/>
          <w:color w:val="auto"/>
        </w:rPr>
        <w:t>对于建筑外墙采用易燃可燃保温材料的，各</w:t>
      </w:r>
      <w:r>
        <w:rPr>
          <w:rFonts w:hint="eastAsia" w:ascii="仿宋_GB2312"/>
          <w:color w:val="auto"/>
        </w:rPr>
        <w:t>乡镇</w:t>
      </w:r>
      <w:r>
        <w:rPr>
          <w:rFonts w:ascii="仿宋_GB2312"/>
          <w:color w:val="auto"/>
        </w:rPr>
        <w:t>要明确政府主管部门责任，落实牵头部门，指导责任单位逐一设置警示标识，推动逐步落实更换等措施；对于人员密集场所室内装修、装饰违规采用易燃可燃材料的，应当按照消防技术标准要求替换；对于室内（外）消火栓管网无水或水压不足的，要督促全部整改，加强检验维修；对于违规设置群租房、搭建易燃可燃彩钢板房的，要督促及时搬离、清除，整改落实到位</w:t>
      </w:r>
      <w:r>
        <w:rPr>
          <w:rFonts w:hint="eastAsia" w:ascii="仿宋_GB2312"/>
          <w:color w:val="auto"/>
        </w:rPr>
        <w:t>；对既有高层建筑内正在进行的改扩建或装饰装修工程，未办理相关建设手续的，要督促建设单位向区建管委补办相关消防审验手续；对发现违规改扩建和装饰装修的，要及时通报区建管委，由区建管委责令改正、查处。</w:t>
      </w:r>
      <w:r>
        <w:rPr>
          <w:rFonts w:ascii="仿宋_GB2312"/>
          <w:color w:val="auto"/>
        </w:rPr>
        <w:t>要重点聚焦高层商住混合体建筑，集中整治消防设施损坏瘫痪、破坏原有防火分隔、擅自改变原有疏散体系、地下室违规住人、违规使用液化气钢瓶、违规设置仓库或存储大量可燃物等突出问题，对违法违规行为依法严肃处理。对影响公共安全的重大火灾隐患，要综合运用挂牌督办、警示约谈、集中曝光等方式，推动业主单位、管理单位、使用单位落实整改要求，提升整治实效。</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仿宋_GB2312"/>
          <w:color w:val="auto"/>
        </w:rPr>
      </w:pPr>
      <w:r>
        <w:rPr>
          <w:rFonts w:ascii="楷体_GB2312" w:eastAsia="楷体_GB2312"/>
          <w:b/>
          <w:bCs/>
          <w:color w:val="auto"/>
          <w:kern w:val="0"/>
        </w:rPr>
        <w:t>（三）规范核查校验。</w:t>
      </w:r>
      <w:r>
        <w:rPr>
          <w:rFonts w:ascii="仿宋_GB2312"/>
          <w:color w:val="auto"/>
        </w:rPr>
        <w:t>区消防</w:t>
      </w:r>
      <w:r>
        <w:rPr>
          <w:rFonts w:hint="eastAsia" w:ascii="仿宋_GB2312"/>
          <w:color w:val="auto"/>
        </w:rPr>
        <w:t>救援</w:t>
      </w:r>
      <w:r>
        <w:rPr>
          <w:rFonts w:ascii="仿宋_GB2312"/>
          <w:color w:val="auto"/>
        </w:rPr>
        <w:t>支队要报请</w:t>
      </w:r>
      <w:r>
        <w:rPr>
          <w:rFonts w:hint="eastAsia" w:ascii="仿宋_GB2312"/>
          <w:color w:val="auto"/>
        </w:rPr>
        <w:t>区</w:t>
      </w:r>
      <w:r>
        <w:rPr>
          <w:rFonts w:ascii="仿宋_GB2312"/>
          <w:color w:val="auto"/>
        </w:rPr>
        <w:t>安全生产委员会组织对高层建筑专项整治工作进行核查抽查，检验整治成效。</w:t>
      </w:r>
      <w:r>
        <w:rPr>
          <w:rFonts w:hint="eastAsia" w:ascii="仿宋_GB2312"/>
          <w:color w:val="auto"/>
        </w:rPr>
        <w:t>根据</w:t>
      </w:r>
      <w:r>
        <w:rPr>
          <w:rFonts w:ascii="仿宋_GB2312"/>
          <w:color w:val="auto"/>
        </w:rPr>
        <w:t>市级层面制定</w:t>
      </w:r>
      <w:r>
        <w:rPr>
          <w:rFonts w:hint="eastAsia" w:ascii="仿宋_GB2312"/>
          <w:color w:val="auto"/>
        </w:rPr>
        <w:t>的</w:t>
      </w:r>
      <w:r>
        <w:rPr>
          <w:rFonts w:ascii="仿宋_GB2312"/>
          <w:color w:val="auto"/>
        </w:rPr>
        <w:t>核查标准</w:t>
      </w:r>
      <w:r>
        <w:rPr>
          <w:rFonts w:hint="eastAsia" w:ascii="仿宋_GB2312"/>
          <w:color w:val="auto"/>
        </w:rPr>
        <w:t>以及</w:t>
      </w:r>
      <w:r>
        <w:rPr>
          <w:rFonts w:ascii="仿宋_GB2312"/>
          <w:color w:val="auto"/>
        </w:rPr>
        <w:t>实地抽查的重点对象类别和数量</w:t>
      </w:r>
      <w:r>
        <w:rPr>
          <w:rFonts w:hint="eastAsia" w:ascii="仿宋_GB2312"/>
          <w:color w:val="auto"/>
        </w:rPr>
        <w:t>，</w:t>
      </w:r>
      <w:r>
        <w:rPr>
          <w:rFonts w:ascii="仿宋_GB2312"/>
          <w:color w:val="auto"/>
        </w:rPr>
        <w:t>区级层面具体开展评估整改工作核查。主要核查是否将</w:t>
      </w:r>
      <w:r>
        <w:rPr>
          <w:rFonts w:hint="eastAsia" w:ascii="仿宋_GB2312"/>
          <w:color w:val="auto"/>
        </w:rPr>
        <w:t>3</w:t>
      </w:r>
      <w:r>
        <w:rPr>
          <w:rFonts w:ascii="仿宋_GB2312"/>
          <w:color w:val="auto"/>
        </w:rPr>
        <w:t>类重点对象和突出风险隐患纳入整治范围，是否建立建筑底数台账和问题隐患清单，是否对照台账和清单按照整改要求完成整改任务。对核查不合格的，持续跟进、紧盯不放，加大督办指导力度，直至彻底整改；对核查合格的，继续加强日常管理，防止问题隐患反弹。</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仿宋_GB2312"/>
          <w:color w:val="auto"/>
        </w:rPr>
      </w:pPr>
      <w:r>
        <w:rPr>
          <w:rFonts w:ascii="楷体_GB2312" w:eastAsia="楷体_GB2312"/>
          <w:b/>
          <w:bCs/>
          <w:color w:val="auto"/>
          <w:kern w:val="0"/>
        </w:rPr>
        <w:t>（四）强化自主管理。</w:t>
      </w:r>
      <w:r>
        <w:rPr>
          <w:rFonts w:ascii="仿宋_GB2312"/>
          <w:color w:val="auto"/>
        </w:rPr>
        <w:t>各</w:t>
      </w:r>
      <w:r>
        <w:rPr>
          <w:rFonts w:hint="eastAsia" w:ascii="仿宋_GB2312"/>
          <w:color w:val="auto"/>
        </w:rPr>
        <w:t>乡镇</w:t>
      </w:r>
      <w:r>
        <w:rPr>
          <w:rFonts w:ascii="仿宋_GB2312"/>
          <w:color w:val="auto"/>
        </w:rPr>
        <w:t>、各相关部门要组织高层建筑业主单位、管理单位、使用单位梳理内部管理体系和职责分工，健全消防安全管理制度，建立完善内部统一的消防安全管理责任体系；存在突出风险情形的，要落实自查自改，公开作出消防安全承诺，对政府挂牌督办的重大火灾隐患，制定隐患整治路线图、时间表，落实责任单位和责任人。要指导高层住宅小区居委会发动楼组长、志愿者开展日常防火巡查和消防宣传提示；督促指导超高层建筑业主或管理单位组建专业消防安全管理团队，根据工作需要聘请注册消防工程师担任消防安全管理人，培育消防安全</w:t>
      </w:r>
      <w:r>
        <w:rPr>
          <w:rFonts w:hint="eastAsia" w:ascii="仿宋_GB2312"/>
          <w:color w:val="auto"/>
        </w:rPr>
        <w:t>“</w:t>
      </w:r>
      <w:r>
        <w:rPr>
          <w:rFonts w:ascii="仿宋_GB2312"/>
          <w:color w:val="auto"/>
        </w:rPr>
        <w:t>明白人</w:t>
      </w:r>
      <w:r>
        <w:rPr>
          <w:rFonts w:hint="eastAsia" w:ascii="仿宋_GB2312"/>
          <w:color w:val="auto"/>
        </w:rPr>
        <w:t>”</w:t>
      </w:r>
      <w:r>
        <w:rPr>
          <w:rFonts w:ascii="仿宋_GB2312"/>
          <w:color w:val="auto"/>
        </w:rPr>
        <w:t>，提高日常管理水平。要完善高层建筑相关管理细则和考核评价办法，开展消防安全标准化管理典型培树和达标创建活动，在2022年底前推动示范单位完成达标创建，在2023年底前推动高层公共建筑全面完成达标创建。</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ascii="仿宋_GB2312"/>
          <w:color w:val="auto"/>
        </w:rPr>
      </w:pPr>
      <w:r>
        <w:rPr>
          <w:rFonts w:ascii="楷体_GB2312" w:eastAsia="楷体_GB2312"/>
          <w:b/>
          <w:bCs/>
          <w:color w:val="auto"/>
          <w:kern w:val="0"/>
        </w:rPr>
        <w:t>（五）注重技防物防。</w:t>
      </w:r>
      <w:r>
        <w:rPr>
          <w:rFonts w:ascii="仿宋_GB2312"/>
          <w:color w:val="auto"/>
        </w:rPr>
        <w:t>各</w:t>
      </w:r>
      <w:r>
        <w:rPr>
          <w:rFonts w:hint="eastAsia" w:ascii="仿宋_GB2312"/>
          <w:color w:val="auto"/>
        </w:rPr>
        <w:t>乡镇</w:t>
      </w:r>
      <w:r>
        <w:rPr>
          <w:rFonts w:ascii="仿宋_GB2312"/>
          <w:color w:val="auto"/>
        </w:rPr>
        <w:t>、各相关部门要加强智能化火灾监测预警、电气火灾综合预警防控、消防安全管理云服务平台等科技应用，依托城市运行“一网统管”平台，融合汇聚高层建筑消防安全信息数据，强化监测预警、风险管控和闭环处置。要推广安装消防物联网传感设备、无线烟感火灾报警探测器、电动自行车智能充电、消防通道电磁感应等设施设备，鼓励老旧高层商住混合体、老旧高层住宅在建筑公共区域、厨房等部位，设置火灾探测器、火灾警报装置、自动灭火系统以及燃气泄漏报警器，确保隐患早发现、早处置。要结合</w:t>
      </w:r>
      <w:r>
        <w:rPr>
          <w:rFonts w:hint="eastAsia" w:ascii="仿宋_GB2312"/>
          <w:color w:val="auto"/>
        </w:rPr>
        <w:t>《崇明区消防事业发展“十四五”规划》</w:t>
      </w:r>
      <w:r>
        <w:rPr>
          <w:rFonts w:ascii="仿宋_GB2312"/>
          <w:color w:val="auto"/>
        </w:rPr>
        <w:t>、城市更新行动、美丽家园建设等，推动将老旧高层住宅纳入城镇老旧小区改造范围，重点解决消防供水、消防车道、电动自行车充电设施和易燃可燃外墙保温材料等方面存在的突出问题，提升本质安全水平。2022年底前，一类高层公共建筑消防设施要完成物联网接入，并将监控信息实时传输至市级消防大数据应用平台。</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eastAsia="方正仿宋_GBK"/>
          <w:color w:val="auto"/>
        </w:rPr>
      </w:pPr>
      <w:r>
        <w:rPr>
          <w:rFonts w:ascii="楷体_GB2312" w:eastAsia="楷体_GB2312"/>
          <w:b/>
          <w:bCs/>
          <w:color w:val="auto"/>
          <w:kern w:val="0"/>
        </w:rPr>
        <w:t>（六）加强培训宣传。</w:t>
      </w:r>
      <w:r>
        <w:rPr>
          <w:rFonts w:ascii="仿宋_GB2312"/>
          <w:color w:val="auto"/>
        </w:rPr>
        <w:t>各</w:t>
      </w:r>
      <w:r>
        <w:rPr>
          <w:rFonts w:hint="eastAsia" w:ascii="仿宋_GB2312"/>
          <w:color w:val="auto"/>
        </w:rPr>
        <w:t>乡镇</w:t>
      </w:r>
      <w:r>
        <w:rPr>
          <w:rFonts w:ascii="仿宋_GB2312"/>
          <w:color w:val="auto"/>
        </w:rPr>
        <w:t>、各相关部门要结合应急管理部《高层民用建筑消防安全管理规定》（应急管理部令第5号）和地方标准《高层民用建筑消防安全管理要求》（DB31/T1235-2020），组织高层建筑业主或管理单位法定代表人、主要负责人开展宣贯培训、谈话提醒和警示教育，督促其强化消防安全管理，加强对消防控制室值班人员、电工等重点岗位人员的专业培训，提高设施设备操作和应急处置能力。要利用各类媒体平台，广泛宣传高层建筑火灾危险性和逃生自救知识，提高群众安全防范意识。完善举报投诉机制，鼓励、引导群众举报身边的火灾隐患。</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eastAsia="方正仿宋_GBK"/>
          <w:color w:val="auto"/>
        </w:rPr>
      </w:pPr>
      <w:r>
        <w:rPr>
          <w:rFonts w:ascii="楷体_GB2312" w:eastAsia="楷体_GB2312"/>
          <w:b/>
          <w:bCs/>
          <w:color w:val="auto"/>
          <w:kern w:val="0"/>
        </w:rPr>
        <w:t>（七）做好应急准备。</w:t>
      </w:r>
      <w:r>
        <w:rPr>
          <w:rFonts w:ascii="仿宋_GB2312"/>
          <w:color w:val="auto"/>
        </w:rPr>
        <w:t>区消防</w:t>
      </w:r>
      <w:r>
        <w:rPr>
          <w:rFonts w:hint="eastAsia" w:ascii="仿宋_GB2312"/>
          <w:color w:val="auto"/>
        </w:rPr>
        <w:t>救援</w:t>
      </w:r>
      <w:r>
        <w:rPr>
          <w:rFonts w:ascii="仿宋_GB2312"/>
          <w:color w:val="auto"/>
        </w:rPr>
        <w:t>支队要督促指导高层建筑业主或管理单位建强微型消防站，纳入消防可视化运管平台。</w:t>
      </w:r>
      <w:r>
        <w:rPr>
          <w:rFonts w:hint="eastAsia" w:ascii="仿宋_GB2312"/>
          <w:color w:val="auto"/>
        </w:rPr>
        <w:t>要强化联勤联动</w:t>
      </w:r>
      <w:r>
        <w:rPr>
          <w:rFonts w:ascii="仿宋_GB2312"/>
          <w:color w:val="auto"/>
        </w:rPr>
        <w:t>，组织公安、卫健、供水、供电、供气、通信等部门（单位）与消防救援队伍联勤联动，提高抗御高层建筑火灾整体能力。</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黑体" w:hAnsi="黑体" w:eastAsia="黑体"/>
          <w:color w:val="auto"/>
          <w:kern w:val="0"/>
        </w:rPr>
      </w:pPr>
      <w:r>
        <w:rPr>
          <w:rFonts w:ascii="黑体" w:hAnsi="黑体" w:eastAsia="黑体"/>
          <w:color w:val="auto"/>
          <w:kern w:val="0"/>
        </w:rPr>
        <w:t xml:space="preserve">四、职责分工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要</w:t>
      </w:r>
      <w:r>
        <w:rPr>
          <w:rFonts w:ascii="仿宋_GB2312"/>
          <w:color w:val="auto"/>
        </w:rPr>
        <w:t>结合高层建筑重大火灾风险专项整治任务特点，依据“管行业必须管安全、管业务必须管安全、管生产经营必须管安全”的原则，明确相关部门工作职责。其中，高层住宅建筑重大火灾风险专项整治，根据《</w:t>
      </w:r>
      <w:r>
        <w:rPr>
          <w:rFonts w:hint="eastAsia" w:ascii="仿宋_GB2312"/>
          <w:color w:val="auto"/>
        </w:rPr>
        <w:t>崇明区高层住宅建筑消防设施排查整治工作方案》</w:t>
      </w:r>
      <w:r>
        <w:rPr>
          <w:rFonts w:ascii="仿宋_GB2312"/>
          <w:color w:val="auto"/>
        </w:rPr>
        <w:t>（</w:t>
      </w:r>
      <w:r>
        <w:rPr>
          <w:rFonts w:hint="eastAsia" w:ascii="仿宋_GB2312"/>
          <w:color w:val="auto"/>
        </w:rPr>
        <w:t>崇消〔2022〕1号</w:t>
      </w:r>
      <w:r>
        <w:rPr>
          <w:rFonts w:ascii="仿宋_GB2312"/>
          <w:color w:val="auto"/>
        </w:rPr>
        <w:t>）要求，由</w:t>
      </w:r>
      <w:r>
        <w:rPr>
          <w:rFonts w:hint="eastAsia" w:ascii="仿宋_GB2312"/>
          <w:color w:val="auto"/>
        </w:rPr>
        <w:t>区</w:t>
      </w:r>
      <w:r>
        <w:rPr>
          <w:rFonts w:ascii="仿宋_GB2312"/>
          <w:color w:val="auto"/>
        </w:rPr>
        <w:t>消防</w:t>
      </w:r>
      <w:r>
        <w:rPr>
          <w:rFonts w:hint="eastAsia" w:ascii="仿宋_GB2312"/>
          <w:color w:val="auto"/>
        </w:rPr>
        <w:t>支队</w:t>
      </w:r>
      <w:r>
        <w:rPr>
          <w:rFonts w:ascii="仿宋_GB2312"/>
          <w:color w:val="auto"/>
        </w:rPr>
        <w:t>、公安</w:t>
      </w:r>
      <w:r>
        <w:rPr>
          <w:rFonts w:hint="eastAsia" w:ascii="仿宋_GB2312"/>
          <w:color w:val="auto"/>
        </w:rPr>
        <w:t>分局</w:t>
      </w:r>
      <w:r>
        <w:rPr>
          <w:rFonts w:ascii="仿宋_GB2312"/>
          <w:color w:val="auto"/>
        </w:rPr>
        <w:t>、</w:t>
      </w:r>
      <w:r>
        <w:rPr>
          <w:rFonts w:hint="eastAsia" w:ascii="仿宋_GB2312"/>
          <w:color w:val="auto"/>
        </w:rPr>
        <w:t>区</w:t>
      </w:r>
      <w:r>
        <w:rPr>
          <w:rFonts w:ascii="仿宋_GB2312"/>
          <w:color w:val="auto"/>
        </w:rPr>
        <w:t>房管</w:t>
      </w:r>
      <w:r>
        <w:rPr>
          <w:rFonts w:hint="eastAsia" w:ascii="仿宋_GB2312"/>
          <w:color w:val="auto"/>
        </w:rPr>
        <w:t>局</w:t>
      </w:r>
      <w:r>
        <w:rPr>
          <w:rFonts w:ascii="仿宋_GB2312"/>
          <w:color w:val="auto"/>
        </w:rPr>
        <w:t>三部门</w:t>
      </w:r>
      <w:r>
        <w:rPr>
          <w:rFonts w:hint="eastAsia" w:ascii="仿宋_GB2312"/>
          <w:color w:val="auto"/>
        </w:rPr>
        <w:t>按各自职责分工</w:t>
      </w:r>
      <w:r>
        <w:rPr>
          <w:rFonts w:ascii="仿宋_GB2312"/>
          <w:color w:val="auto"/>
        </w:rPr>
        <w:t>抓好具体工作落实，</w:t>
      </w:r>
      <w:r>
        <w:rPr>
          <w:rFonts w:hint="eastAsia" w:ascii="仿宋_GB2312"/>
          <w:color w:val="auto"/>
        </w:rPr>
        <w:t>区</w:t>
      </w:r>
      <w:r>
        <w:rPr>
          <w:rFonts w:ascii="仿宋_GB2312"/>
          <w:color w:val="auto"/>
        </w:rPr>
        <w:t>民政</w:t>
      </w:r>
      <w:r>
        <w:rPr>
          <w:rFonts w:hint="eastAsia" w:ascii="仿宋_GB2312"/>
          <w:color w:val="auto"/>
        </w:rPr>
        <w:t>局</w:t>
      </w:r>
      <w:r>
        <w:rPr>
          <w:rFonts w:ascii="仿宋_GB2312"/>
          <w:color w:val="auto"/>
        </w:rPr>
        <w:t>配合指导村（居）委员会</w:t>
      </w:r>
      <w:r>
        <w:rPr>
          <w:rFonts w:hint="eastAsia" w:ascii="仿宋_GB2312"/>
          <w:color w:val="auto"/>
        </w:rPr>
        <w:t>依法</w:t>
      </w:r>
      <w:r>
        <w:rPr>
          <w:rFonts w:ascii="仿宋_GB2312"/>
          <w:color w:val="auto"/>
        </w:rPr>
        <w:t>开展</w:t>
      </w:r>
      <w:r>
        <w:rPr>
          <w:rFonts w:hint="eastAsia" w:ascii="仿宋_GB2312"/>
          <w:color w:val="auto"/>
        </w:rPr>
        <w:t>有关工作</w:t>
      </w:r>
      <w:r>
        <w:rPr>
          <w:rFonts w:ascii="仿宋_GB2312"/>
          <w:color w:val="auto"/>
        </w:rPr>
        <w:t>。</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老旧高层商住混合体、高层公共建筑重大火灾风险专项整治，由</w:t>
      </w:r>
      <w:r>
        <w:rPr>
          <w:rFonts w:hint="eastAsia" w:ascii="仿宋_GB2312"/>
          <w:color w:val="auto"/>
        </w:rPr>
        <w:t>区</w:t>
      </w:r>
      <w:r>
        <w:rPr>
          <w:rFonts w:ascii="仿宋_GB2312"/>
          <w:color w:val="auto"/>
        </w:rPr>
        <w:t>应急</w:t>
      </w:r>
      <w:r>
        <w:rPr>
          <w:rFonts w:hint="eastAsia" w:ascii="仿宋_GB2312"/>
          <w:color w:val="auto"/>
        </w:rPr>
        <w:t>局</w:t>
      </w:r>
      <w:r>
        <w:rPr>
          <w:rFonts w:ascii="仿宋_GB2312"/>
          <w:color w:val="auto"/>
        </w:rPr>
        <w:t>和消防</w:t>
      </w:r>
      <w:r>
        <w:rPr>
          <w:rFonts w:hint="eastAsia" w:ascii="仿宋_GB2312"/>
          <w:color w:val="auto"/>
        </w:rPr>
        <w:t>支队</w:t>
      </w:r>
      <w:r>
        <w:rPr>
          <w:rFonts w:ascii="仿宋_GB2312"/>
          <w:color w:val="auto"/>
        </w:rPr>
        <w:t>牵头，</w:t>
      </w:r>
      <w:r>
        <w:rPr>
          <w:rFonts w:hint="eastAsia" w:ascii="仿宋_GB2312"/>
          <w:color w:val="auto"/>
        </w:rPr>
        <w:t>区经委</w:t>
      </w:r>
      <w:r>
        <w:rPr>
          <w:rFonts w:ascii="仿宋_GB2312"/>
          <w:color w:val="auto"/>
        </w:rPr>
        <w:t>、</w:t>
      </w:r>
      <w:r>
        <w:rPr>
          <w:rFonts w:hint="eastAsia" w:ascii="仿宋_GB2312"/>
          <w:color w:val="auto"/>
          <w:lang w:eastAsia="zh-CN"/>
        </w:rPr>
        <w:t>区</w:t>
      </w:r>
      <w:r>
        <w:rPr>
          <w:rFonts w:ascii="仿宋_GB2312"/>
          <w:color w:val="auto"/>
        </w:rPr>
        <w:t>公安</w:t>
      </w:r>
      <w:r>
        <w:rPr>
          <w:rFonts w:hint="eastAsia" w:ascii="仿宋_GB2312"/>
          <w:color w:val="auto"/>
          <w:lang w:eastAsia="zh-CN"/>
        </w:rPr>
        <w:t>分局</w:t>
      </w:r>
      <w:r>
        <w:rPr>
          <w:rFonts w:ascii="仿宋_GB2312"/>
          <w:color w:val="auto"/>
        </w:rPr>
        <w:t>、</w:t>
      </w:r>
      <w:r>
        <w:rPr>
          <w:rFonts w:hint="eastAsia" w:ascii="仿宋_GB2312"/>
          <w:color w:val="auto"/>
          <w:lang w:eastAsia="zh-CN"/>
        </w:rPr>
        <w:t>区</w:t>
      </w:r>
      <w:r>
        <w:rPr>
          <w:rFonts w:ascii="仿宋_GB2312"/>
          <w:color w:val="auto"/>
        </w:rPr>
        <w:t>民政</w:t>
      </w:r>
      <w:r>
        <w:rPr>
          <w:rFonts w:hint="eastAsia" w:ascii="仿宋_GB2312"/>
          <w:color w:val="auto"/>
          <w:lang w:eastAsia="zh-CN"/>
        </w:rPr>
        <w:t>局</w:t>
      </w:r>
      <w:r>
        <w:rPr>
          <w:rFonts w:ascii="仿宋_GB2312"/>
          <w:color w:val="auto"/>
        </w:rPr>
        <w:t>、</w:t>
      </w:r>
      <w:r>
        <w:rPr>
          <w:rFonts w:hint="eastAsia" w:ascii="仿宋_GB2312"/>
          <w:color w:val="auto"/>
          <w:lang w:eastAsia="zh-CN"/>
        </w:rPr>
        <w:t>区</w:t>
      </w:r>
      <w:r>
        <w:rPr>
          <w:rFonts w:ascii="仿宋_GB2312"/>
          <w:color w:val="auto"/>
        </w:rPr>
        <w:t>规划</w:t>
      </w:r>
      <w:r>
        <w:rPr>
          <w:rFonts w:hint="eastAsia" w:ascii="仿宋_GB2312"/>
          <w:color w:val="auto"/>
          <w:lang w:eastAsia="zh-CN"/>
        </w:rPr>
        <w:t>资源局</w:t>
      </w:r>
      <w:r>
        <w:rPr>
          <w:rFonts w:ascii="仿宋_GB2312"/>
          <w:color w:val="auto"/>
        </w:rPr>
        <w:t>、</w:t>
      </w:r>
      <w:r>
        <w:rPr>
          <w:rFonts w:hint="eastAsia" w:ascii="仿宋_GB2312"/>
          <w:color w:val="auto"/>
          <w:lang w:eastAsia="zh-CN"/>
        </w:rPr>
        <w:t>区建设管理</w:t>
      </w:r>
      <w:r>
        <w:rPr>
          <w:rFonts w:hint="eastAsia" w:ascii="仿宋_GB2312"/>
          <w:color w:val="auto"/>
        </w:rPr>
        <w:t>委</w:t>
      </w:r>
      <w:r>
        <w:rPr>
          <w:rFonts w:ascii="仿宋_GB2312"/>
          <w:color w:val="auto"/>
        </w:rPr>
        <w:t>、</w:t>
      </w:r>
      <w:r>
        <w:rPr>
          <w:rFonts w:hint="eastAsia" w:ascii="仿宋_GB2312"/>
          <w:color w:val="auto"/>
          <w:lang w:eastAsia="zh-CN"/>
        </w:rPr>
        <w:t>区</w:t>
      </w:r>
      <w:r>
        <w:rPr>
          <w:rFonts w:ascii="仿宋_GB2312"/>
          <w:color w:val="auto"/>
        </w:rPr>
        <w:t>市场监管</w:t>
      </w:r>
      <w:r>
        <w:rPr>
          <w:rFonts w:hint="eastAsia" w:ascii="仿宋_GB2312"/>
          <w:color w:val="auto"/>
          <w:lang w:eastAsia="zh-CN"/>
        </w:rPr>
        <w:t>局</w:t>
      </w:r>
      <w:r>
        <w:rPr>
          <w:rFonts w:ascii="仿宋_GB2312"/>
          <w:color w:val="auto"/>
        </w:rPr>
        <w:t>、</w:t>
      </w:r>
      <w:r>
        <w:rPr>
          <w:rFonts w:hint="eastAsia" w:ascii="仿宋_GB2312"/>
          <w:color w:val="auto"/>
          <w:lang w:eastAsia="zh-CN"/>
        </w:rPr>
        <w:t>区</w:t>
      </w:r>
      <w:r>
        <w:rPr>
          <w:rFonts w:ascii="仿宋_GB2312"/>
          <w:color w:val="auto"/>
        </w:rPr>
        <w:t>绿化市容</w:t>
      </w:r>
      <w:r>
        <w:rPr>
          <w:rFonts w:hint="eastAsia" w:ascii="仿宋_GB2312"/>
          <w:color w:val="auto"/>
          <w:lang w:eastAsia="zh-CN"/>
        </w:rPr>
        <w:t>局</w:t>
      </w:r>
      <w:r>
        <w:rPr>
          <w:rFonts w:ascii="仿宋_GB2312"/>
          <w:color w:val="auto"/>
        </w:rPr>
        <w:t>、</w:t>
      </w:r>
      <w:r>
        <w:rPr>
          <w:rFonts w:hint="eastAsia" w:ascii="仿宋_GB2312"/>
          <w:color w:val="auto"/>
          <w:lang w:eastAsia="zh-CN"/>
        </w:rPr>
        <w:t>区</w:t>
      </w:r>
      <w:r>
        <w:rPr>
          <w:rFonts w:ascii="仿宋_GB2312"/>
          <w:color w:val="auto"/>
        </w:rPr>
        <w:t>城管执法</w:t>
      </w:r>
      <w:r>
        <w:rPr>
          <w:rFonts w:hint="eastAsia" w:ascii="仿宋_GB2312"/>
          <w:color w:val="auto"/>
          <w:lang w:eastAsia="zh-CN"/>
        </w:rPr>
        <w:t>局</w:t>
      </w:r>
      <w:r>
        <w:rPr>
          <w:rFonts w:ascii="仿宋_GB2312"/>
          <w:color w:val="auto"/>
        </w:rPr>
        <w:t>、</w:t>
      </w:r>
      <w:r>
        <w:rPr>
          <w:rFonts w:hint="eastAsia" w:ascii="仿宋_GB2312"/>
          <w:color w:val="auto"/>
          <w:lang w:eastAsia="zh-CN"/>
        </w:rPr>
        <w:t>区住房保障房屋管理局</w:t>
      </w:r>
      <w:r>
        <w:rPr>
          <w:rFonts w:ascii="仿宋_GB2312"/>
          <w:color w:val="auto"/>
        </w:rPr>
        <w:t>、</w:t>
      </w:r>
      <w:r>
        <w:rPr>
          <w:rFonts w:hint="eastAsia" w:ascii="仿宋_GB2312"/>
          <w:color w:val="auto"/>
          <w:lang w:eastAsia="zh-CN"/>
        </w:rPr>
        <w:t>区</w:t>
      </w:r>
      <w:r>
        <w:rPr>
          <w:rFonts w:hint="eastAsia" w:ascii="仿宋_GB2312"/>
          <w:color w:val="auto"/>
        </w:rPr>
        <w:t>科委</w:t>
      </w:r>
      <w:r>
        <w:rPr>
          <w:rFonts w:ascii="仿宋_GB2312"/>
          <w:color w:val="auto"/>
        </w:rPr>
        <w:t>，以及</w:t>
      </w:r>
      <w:r>
        <w:rPr>
          <w:rFonts w:hint="eastAsia" w:ascii="仿宋_GB2312"/>
          <w:color w:val="auto"/>
        </w:rPr>
        <w:t>崇明供电公司、长兴供电公司</w:t>
      </w:r>
      <w:r>
        <w:rPr>
          <w:rFonts w:ascii="仿宋_GB2312"/>
          <w:color w:val="auto"/>
        </w:rPr>
        <w:t>等部门、单位共同参与，健全工作机制，统筹推进专项整治工作。</w:t>
      </w:r>
      <w:r>
        <w:rPr>
          <w:rFonts w:hint="eastAsia" w:ascii="仿宋_GB2312"/>
          <w:color w:val="auto"/>
        </w:rPr>
        <w:t>区</w:t>
      </w:r>
      <w:r>
        <w:rPr>
          <w:rFonts w:ascii="仿宋_GB2312"/>
          <w:color w:val="auto"/>
        </w:rPr>
        <w:t>级层面相关部门主要职责：</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区</w:t>
      </w:r>
      <w:r>
        <w:rPr>
          <w:rFonts w:ascii="仿宋_GB2312"/>
          <w:color w:val="auto"/>
        </w:rPr>
        <w:t>应急局、</w:t>
      </w:r>
      <w:r>
        <w:rPr>
          <w:rFonts w:hint="eastAsia" w:ascii="仿宋_GB2312"/>
          <w:color w:val="auto"/>
        </w:rPr>
        <w:t>区</w:t>
      </w:r>
      <w:r>
        <w:rPr>
          <w:rFonts w:ascii="仿宋_GB2312"/>
          <w:color w:val="auto"/>
        </w:rPr>
        <w:t>消防救援</w:t>
      </w:r>
      <w:r>
        <w:rPr>
          <w:rFonts w:hint="eastAsia" w:ascii="仿宋_GB2312"/>
          <w:color w:val="auto"/>
        </w:rPr>
        <w:t>支队</w:t>
      </w:r>
      <w:r>
        <w:rPr>
          <w:rFonts w:ascii="仿宋_GB2312"/>
          <w:color w:val="auto"/>
        </w:rPr>
        <w:t>负责推动落实专项整治各项具体措施，牵头研究解决重大问题，组织开展督查检查，收集汇总、定期通报工作进展情况。</w:t>
      </w:r>
      <w:r>
        <w:rPr>
          <w:rFonts w:hint="eastAsia" w:ascii="仿宋_GB2312"/>
          <w:color w:val="auto"/>
        </w:rPr>
        <w:t>区</w:t>
      </w:r>
      <w:r>
        <w:rPr>
          <w:rFonts w:ascii="仿宋_GB2312"/>
          <w:color w:val="auto"/>
        </w:rPr>
        <w:t>消防救援</w:t>
      </w:r>
      <w:r>
        <w:rPr>
          <w:rFonts w:hint="eastAsia" w:ascii="仿宋_GB2312"/>
          <w:color w:val="auto"/>
        </w:rPr>
        <w:t>支队</w:t>
      </w:r>
      <w:r>
        <w:rPr>
          <w:rFonts w:ascii="仿宋_GB2312"/>
          <w:color w:val="auto"/>
        </w:rPr>
        <w:t>负责高层建筑消防安全数据采集系统</w:t>
      </w:r>
      <w:r>
        <w:rPr>
          <w:rFonts w:hint="eastAsia" w:ascii="仿宋_GB2312"/>
          <w:color w:val="auto"/>
        </w:rPr>
        <w:t>数据录入</w:t>
      </w:r>
      <w:r>
        <w:rPr>
          <w:rFonts w:ascii="仿宋_GB2312"/>
          <w:color w:val="auto"/>
        </w:rPr>
        <w:t>，健全数据信息常态化更新工作机制，开展技术指导、业务培训等工作；组织开展消防监督执法，重点对高层建筑业主或管理单位履行消防安全职责情况进行监督抽查；修订完善灭火救援预案，组织技战术研究，强化实战演练，开展高层建筑火灾扑救和应急救援工作。</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区经</w:t>
      </w:r>
      <w:r>
        <w:rPr>
          <w:rFonts w:ascii="仿宋_GB2312"/>
          <w:color w:val="auto"/>
        </w:rPr>
        <w:t>委重点指导督促高层建筑内商贸企业加强安全管理，落实安全防范措施。协助高层建筑消防安全数据采集系统</w:t>
      </w:r>
      <w:r>
        <w:rPr>
          <w:rFonts w:hint="eastAsia" w:ascii="仿宋_GB2312"/>
          <w:color w:val="auto"/>
        </w:rPr>
        <w:t>信息录入</w:t>
      </w:r>
      <w:r>
        <w:rPr>
          <w:rFonts w:ascii="仿宋_GB2312"/>
          <w:color w:val="auto"/>
        </w:rPr>
        <w:t>。</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崇明供电公司、长兴供电公司</w:t>
      </w:r>
      <w:r>
        <w:rPr>
          <w:rFonts w:ascii="仿宋_GB2312"/>
          <w:color w:val="auto"/>
        </w:rPr>
        <w:t xml:space="preserve">依法依规加强对高层建筑输配电设施和线路安全检查，根据电力用户需要提供用电监察服务，加强高层建筑安全用电知识宣传提示； </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区规划</w:t>
      </w:r>
      <w:r>
        <w:rPr>
          <w:rFonts w:hint="eastAsia" w:ascii="仿宋_GB2312"/>
          <w:color w:val="auto"/>
          <w:lang w:eastAsia="zh-CN"/>
        </w:rPr>
        <w:t>资源局</w:t>
      </w:r>
      <w:r>
        <w:rPr>
          <w:rFonts w:ascii="仿宋_GB2312"/>
          <w:color w:val="auto"/>
        </w:rPr>
        <w:t>、</w:t>
      </w:r>
      <w:r>
        <w:rPr>
          <w:rFonts w:hint="eastAsia" w:ascii="仿宋_GB2312"/>
          <w:color w:val="auto"/>
          <w:lang w:eastAsia="zh-CN"/>
        </w:rPr>
        <w:t>区建设管理</w:t>
      </w:r>
      <w:r>
        <w:rPr>
          <w:rFonts w:hint="eastAsia" w:ascii="仿宋_GB2312"/>
          <w:color w:val="auto"/>
        </w:rPr>
        <w:t>委</w:t>
      </w:r>
      <w:r>
        <w:rPr>
          <w:rFonts w:ascii="仿宋_GB2312"/>
          <w:color w:val="auto"/>
        </w:rPr>
        <w:t>、</w:t>
      </w:r>
      <w:r>
        <w:rPr>
          <w:rFonts w:hint="eastAsia" w:ascii="仿宋_GB2312"/>
          <w:color w:val="auto"/>
          <w:lang w:eastAsia="zh-CN"/>
        </w:rPr>
        <w:t>区住房保障房屋管理局</w:t>
      </w:r>
      <w:r>
        <w:rPr>
          <w:rFonts w:ascii="仿宋_GB2312"/>
          <w:color w:val="auto"/>
        </w:rPr>
        <w:t>等部门负责提供高层建筑有关的建设工程审批、测绘信息、产权登记、物业服务企业管理服务等相关信息，协助开展数据比对核准和动态更新。</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lang w:eastAsia="zh-CN"/>
        </w:rPr>
        <w:t>区建设管理</w:t>
      </w:r>
      <w:r>
        <w:rPr>
          <w:rFonts w:hint="eastAsia" w:ascii="仿宋_GB2312"/>
          <w:color w:val="auto"/>
        </w:rPr>
        <w:t>委加强和改进既有高层建筑改扩建、内部装饰装修工程的消防安全监管，并及时通报质量安全监督中发现的安全隐患；</w:t>
      </w:r>
      <w:r>
        <w:rPr>
          <w:rFonts w:ascii="仿宋_GB2312"/>
          <w:color w:val="auto"/>
        </w:rPr>
        <w:t>督促燃气企业加强对高层建筑燃气管道敷设、燃气用具使用的安全检查。</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区</w:t>
      </w:r>
      <w:r>
        <w:rPr>
          <w:rFonts w:ascii="仿宋_GB2312"/>
          <w:color w:val="auto"/>
        </w:rPr>
        <w:t>市场监管局重点针对高层建筑消防产品质量问题，依法查处相关生产、销售企业。</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lang w:eastAsia="zh-CN"/>
        </w:rPr>
        <w:t>区建设管理</w:t>
      </w:r>
      <w:r>
        <w:rPr>
          <w:rFonts w:hint="eastAsia" w:ascii="仿宋_GB2312"/>
          <w:color w:val="auto"/>
        </w:rPr>
        <w:t>委和区</w:t>
      </w:r>
      <w:r>
        <w:rPr>
          <w:rFonts w:ascii="仿宋_GB2312"/>
          <w:color w:val="auto"/>
        </w:rPr>
        <w:t>城管执法局</w:t>
      </w:r>
      <w:r>
        <w:rPr>
          <w:rFonts w:hint="eastAsia" w:ascii="仿宋_GB2312"/>
          <w:color w:val="auto"/>
        </w:rPr>
        <w:t>重点加强对</w:t>
      </w:r>
      <w:r>
        <w:rPr>
          <w:rFonts w:ascii="仿宋_GB2312"/>
          <w:color w:val="auto"/>
        </w:rPr>
        <w:t>高层建筑屋顶平台违</w:t>
      </w:r>
      <w:r>
        <w:rPr>
          <w:rFonts w:hint="eastAsia" w:ascii="仿宋_GB2312"/>
          <w:color w:val="auto"/>
        </w:rPr>
        <w:t>法搭建</w:t>
      </w:r>
      <w:r>
        <w:rPr>
          <w:rFonts w:ascii="仿宋_GB2312"/>
          <w:color w:val="auto"/>
        </w:rPr>
        <w:t>建（构）筑物</w:t>
      </w:r>
      <w:r>
        <w:rPr>
          <w:rFonts w:hint="eastAsia" w:ascii="仿宋_GB2312"/>
          <w:color w:val="auto"/>
        </w:rPr>
        <w:t>的执法整治。</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区</w:t>
      </w:r>
      <w:r>
        <w:rPr>
          <w:rFonts w:ascii="仿宋_GB2312"/>
          <w:color w:val="auto"/>
        </w:rPr>
        <w:t>绿化市容局</w:t>
      </w:r>
      <w:r>
        <w:rPr>
          <w:rFonts w:hint="eastAsia" w:ascii="仿宋_GB2312"/>
          <w:color w:val="auto"/>
        </w:rPr>
        <w:t>、</w:t>
      </w:r>
      <w:r>
        <w:rPr>
          <w:rFonts w:hint="eastAsia" w:ascii="仿宋_GB2312"/>
          <w:color w:val="auto"/>
          <w:lang w:eastAsia="zh-CN"/>
        </w:rPr>
        <w:t>区</w:t>
      </w:r>
      <w:r>
        <w:rPr>
          <w:rFonts w:ascii="仿宋_GB2312"/>
          <w:color w:val="auto"/>
        </w:rPr>
        <w:t>城管执法局</w:t>
      </w:r>
      <w:r>
        <w:rPr>
          <w:rFonts w:hint="eastAsia" w:ascii="仿宋_GB2312"/>
          <w:color w:val="auto"/>
        </w:rPr>
        <w:t>重点加强对</w:t>
      </w:r>
      <w:r>
        <w:rPr>
          <w:rFonts w:ascii="仿宋_GB2312"/>
          <w:color w:val="auto"/>
        </w:rPr>
        <w:t>高层建筑外墙</w:t>
      </w:r>
      <w:r>
        <w:rPr>
          <w:rFonts w:hint="eastAsia" w:ascii="仿宋_GB2312"/>
          <w:color w:val="auto"/>
        </w:rPr>
        <w:t>违法</w:t>
      </w:r>
      <w:r>
        <w:rPr>
          <w:rFonts w:ascii="仿宋_GB2312"/>
          <w:color w:val="auto"/>
        </w:rPr>
        <w:t>广告牌的</w:t>
      </w:r>
      <w:r>
        <w:rPr>
          <w:rFonts w:hint="eastAsia" w:ascii="仿宋_GB2312"/>
          <w:color w:val="auto"/>
        </w:rPr>
        <w:t>执法</w:t>
      </w:r>
      <w:r>
        <w:rPr>
          <w:rFonts w:ascii="仿宋_GB2312"/>
          <w:color w:val="auto"/>
        </w:rPr>
        <w:t>整治。</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lang w:eastAsia="zh-CN"/>
        </w:rPr>
        <w:t>区住房保障房屋管理局</w:t>
      </w:r>
      <w:r>
        <w:rPr>
          <w:rFonts w:hint="eastAsia" w:ascii="仿宋_GB2312"/>
          <w:color w:val="auto"/>
        </w:rPr>
        <w:t>负责指导各乡镇房管中心督促物业服务企业按照法律规定和合同约定加强高层建筑消防设施维护保养和运行管理服务工作；推动老旧高层住宅小区因地制宜增设电动自行车充电设施。</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区科委</w:t>
      </w:r>
      <w:r>
        <w:rPr>
          <w:rFonts w:ascii="仿宋_GB2312"/>
          <w:color w:val="auto"/>
        </w:rPr>
        <w:t>指导督促</w:t>
      </w:r>
      <w:r>
        <w:rPr>
          <w:rFonts w:hint="eastAsia" w:ascii="仿宋_GB2312"/>
          <w:color w:val="auto"/>
        </w:rPr>
        <w:t>崇明电信</w:t>
      </w:r>
      <w:r>
        <w:rPr>
          <w:rFonts w:ascii="仿宋_GB2312"/>
          <w:color w:val="auto"/>
        </w:rPr>
        <w:t>、</w:t>
      </w:r>
      <w:r>
        <w:rPr>
          <w:rFonts w:hint="eastAsia" w:ascii="仿宋_GB2312"/>
          <w:color w:val="auto"/>
        </w:rPr>
        <w:t>崇明</w:t>
      </w:r>
      <w:r>
        <w:rPr>
          <w:rFonts w:ascii="仿宋_GB2312"/>
          <w:color w:val="auto"/>
        </w:rPr>
        <w:t>移动</w:t>
      </w:r>
      <w:r>
        <w:rPr>
          <w:rFonts w:hint="eastAsia" w:ascii="仿宋_GB2312"/>
          <w:color w:val="auto"/>
        </w:rPr>
        <w:t>、崇明</w:t>
      </w:r>
      <w:r>
        <w:rPr>
          <w:rFonts w:ascii="仿宋_GB2312"/>
          <w:color w:val="auto"/>
        </w:rPr>
        <w:t>联</w:t>
      </w:r>
      <w:r>
        <w:rPr>
          <w:rFonts w:hint="eastAsia" w:ascii="仿宋_GB2312"/>
          <w:color w:val="auto"/>
        </w:rPr>
        <w:t>通公司</w:t>
      </w:r>
      <w:r>
        <w:rPr>
          <w:rFonts w:ascii="仿宋_GB2312"/>
          <w:color w:val="auto"/>
        </w:rPr>
        <w:t>对高层建筑内电信设施设备开展安全隐患排查整改。</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其他职能部门、</w:t>
      </w:r>
      <w:r>
        <w:rPr>
          <w:rFonts w:hint="eastAsia" w:ascii="仿宋_GB2312"/>
          <w:color w:val="auto"/>
        </w:rPr>
        <w:t>在崇市属有关单位</w:t>
      </w:r>
      <w:r>
        <w:rPr>
          <w:rFonts w:ascii="仿宋_GB2312"/>
          <w:color w:val="auto"/>
        </w:rPr>
        <w:t>和各</w:t>
      </w:r>
      <w:r>
        <w:rPr>
          <w:rFonts w:hint="eastAsia" w:ascii="仿宋_GB2312"/>
          <w:color w:val="auto"/>
        </w:rPr>
        <w:t>乡镇</w:t>
      </w:r>
      <w:r>
        <w:rPr>
          <w:rFonts w:ascii="仿宋_GB2312"/>
          <w:color w:val="auto"/>
        </w:rPr>
        <w:t>政府负责推动本行业、本系统、本辖区内高层建筑落实排查整治工作，督促责任主体单位落实消防安全标准化管理。</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黑体" w:hAnsi="黑体" w:eastAsia="黑体"/>
          <w:color w:val="auto"/>
          <w:kern w:val="0"/>
        </w:rPr>
      </w:pPr>
      <w:r>
        <w:rPr>
          <w:rFonts w:ascii="黑体" w:hAnsi="黑体" w:eastAsia="黑体"/>
          <w:color w:val="auto"/>
          <w:kern w:val="0"/>
        </w:rPr>
        <w:t xml:space="preserve">五、时间步骤 </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楷体_GB2312" w:eastAsia="楷体_GB2312"/>
          <w:b/>
          <w:bCs/>
          <w:color w:val="auto"/>
          <w:kern w:val="0"/>
        </w:rPr>
      </w:pPr>
      <w:r>
        <w:rPr>
          <w:rFonts w:ascii="楷体_GB2312" w:eastAsia="楷体_GB2312"/>
          <w:b/>
          <w:bCs/>
          <w:color w:val="auto"/>
          <w:kern w:val="0"/>
        </w:rPr>
        <w:t>（一）</w:t>
      </w:r>
      <w:r>
        <w:rPr>
          <w:rFonts w:hint="eastAsia" w:ascii="楷体_GB2312" w:eastAsia="楷体_GB2312"/>
          <w:b/>
          <w:bCs/>
          <w:color w:val="auto"/>
          <w:kern w:val="0"/>
        </w:rPr>
        <w:t>老旧高层住宅建筑排查整治结合本区已开展的高层住宅建筑消防设施排查整治工作有序推进。</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楷体_GB2312" w:eastAsia="楷体_GB2312"/>
          <w:b/>
          <w:bCs/>
          <w:color w:val="auto"/>
          <w:kern w:val="0"/>
        </w:rPr>
      </w:pPr>
      <w:r>
        <w:rPr>
          <w:rFonts w:ascii="楷体_GB2312" w:eastAsia="楷体_GB2312"/>
          <w:b/>
          <w:bCs/>
          <w:color w:val="auto"/>
          <w:kern w:val="0"/>
        </w:rPr>
        <w:t>（二）既有老旧高层商住混合体、高层公共建筑</w:t>
      </w:r>
      <w:r>
        <w:rPr>
          <w:rFonts w:hint="eastAsia" w:ascii="楷体_GB2312" w:eastAsia="楷体_GB2312"/>
          <w:b/>
          <w:bCs/>
          <w:color w:val="auto"/>
          <w:kern w:val="0"/>
        </w:rPr>
        <w:t>2</w:t>
      </w:r>
      <w:r>
        <w:rPr>
          <w:rFonts w:ascii="楷体_GB2312" w:eastAsia="楷体_GB2312"/>
          <w:b/>
          <w:bCs/>
          <w:color w:val="auto"/>
          <w:kern w:val="0"/>
        </w:rPr>
        <w:t>类建筑排查整治自即日起至2023年6月结束，分二个阶段进行：</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一是排查整治阶段（即日起至11月底）。各</w:t>
      </w:r>
      <w:r>
        <w:rPr>
          <w:rFonts w:hint="eastAsia" w:ascii="仿宋_GB2312"/>
          <w:color w:val="auto"/>
        </w:rPr>
        <w:t>乡镇</w:t>
      </w:r>
      <w:r>
        <w:rPr>
          <w:rFonts w:ascii="仿宋_GB2312"/>
          <w:color w:val="auto"/>
        </w:rPr>
        <w:t>、相关部门结合实际细化方案，层层部署发动，在2022年9月底前组织完成自查、核查、评估等工作，完善基础数据，建立隐患问题清单。</w:t>
      </w:r>
      <w:r>
        <w:rPr>
          <w:rFonts w:hint="eastAsia" w:ascii="仿宋_GB2312"/>
          <w:color w:val="auto"/>
        </w:rPr>
        <w:t>各</w:t>
      </w:r>
      <w:r>
        <w:rPr>
          <w:rFonts w:ascii="仿宋_GB2312"/>
          <w:color w:val="auto"/>
        </w:rPr>
        <w:t>相关部门和</w:t>
      </w:r>
      <w:r>
        <w:rPr>
          <w:rFonts w:hint="eastAsia" w:ascii="仿宋_GB2312"/>
          <w:color w:val="auto"/>
        </w:rPr>
        <w:t>乡</w:t>
      </w:r>
      <w:r>
        <w:rPr>
          <w:rFonts w:ascii="仿宋_GB2312"/>
          <w:color w:val="auto"/>
        </w:rPr>
        <w:t>镇</w:t>
      </w:r>
      <w:r>
        <w:rPr>
          <w:rFonts w:hint="eastAsia" w:ascii="仿宋_GB2312"/>
          <w:color w:val="auto"/>
        </w:rPr>
        <w:t>针对</w:t>
      </w:r>
      <w:r>
        <w:rPr>
          <w:rFonts w:ascii="仿宋_GB2312"/>
          <w:color w:val="auto"/>
        </w:rPr>
        <w:t>集中整治高层建筑存在的突出问题隐患，分级分类加强跟踪督改，有效管控重大安全风险，严防发生群死群伤重特大火灾事故。</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ascii="仿宋_GB2312"/>
          <w:color w:val="auto"/>
        </w:rPr>
        <w:t>二是巩固提高阶段（2022年12月1日至2023年6月底）。区安委会</w:t>
      </w:r>
      <w:r>
        <w:rPr>
          <w:rFonts w:hint="eastAsia" w:ascii="仿宋_GB2312"/>
          <w:color w:val="auto"/>
        </w:rPr>
        <w:t>将</w:t>
      </w:r>
      <w:r>
        <w:rPr>
          <w:rFonts w:ascii="仿宋_GB2312"/>
          <w:color w:val="auto"/>
        </w:rPr>
        <w:t>组织对专项整治工作情况开展“回头看”检查，总结固化经验，深化高层建筑消防安全标准化管理创建，健全完善常态长效整治机制，持续提升责任单位消防安全管理能力和水平。</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黑体" w:hAnsi="黑体" w:eastAsia="黑体"/>
          <w:color w:val="auto"/>
          <w:kern w:val="0"/>
        </w:rPr>
      </w:pPr>
      <w:r>
        <w:rPr>
          <w:rFonts w:ascii="黑体" w:hAnsi="黑体" w:eastAsia="黑体"/>
          <w:color w:val="auto"/>
          <w:kern w:val="0"/>
        </w:rPr>
        <w:t>六、工作要求</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eastAsia="方正仿宋_GBK"/>
          <w:color w:val="auto"/>
        </w:rPr>
      </w:pPr>
      <w:r>
        <w:rPr>
          <w:rFonts w:ascii="楷体_GB2312" w:eastAsia="楷体_GB2312"/>
          <w:b/>
          <w:bCs/>
          <w:color w:val="auto"/>
          <w:kern w:val="0"/>
        </w:rPr>
        <w:t>（一）提高认识，细化措施。</w:t>
      </w:r>
      <w:r>
        <w:rPr>
          <w:rFonts w:ascii="仿宋_GB2312"/>
          <w:color w:val="auto"/>
        </w:rPr>
        <w:t>各</w:t>
      </w:r>
      <w:r>
        <w:rPr>
          <w:rFonts w:hint="eastAsia" w:ascii="仿宋_GB2312"/>
          <w:color w:val="auto"/>
        </w:rPr>
        <w:t>乡镇</w:t>
      </w:r>
      <w:r>
        <w:rPr>
          <w:rFonts w:ascii="仿宋_GB2312"/>
          <w:color w:val="auto"/>
        </w:rPr>
        <w:t xml:space="preserve">、各有关部门要站在统筹发展和安全的高度, 充分认清高层建筑消防安全综合治理工作的重要性，切实将此次整治工作作为防范化解重大安全风险、维护公共安全的重要举措，细化完善专项整治方案，明确有关单位治理责任，层层压实责任，建立健全基础台账和隐患清单，落实隐患跟踪督改，确保各项措施落到实处。 </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仿宋_GB2312"/>
          <w:color w:val="auto"/>
        </w:rPr>
      </w:pPr>
      <w:r>
        <w:rPr>
          <w:rFonts w:ascii="楷体_GB2312" w:eastAsia="楷体_GB2312"/>
          <w:b/>
          <w:bCs/>
          <w:color w:val="auto"/>
          <w:kern w:val="0"/>
        </w:rPr>
        <w:t>（二）协同推进，形成合力。</w:t>
      </w:r>
      <w:r>
        <w:rPr>
          <w:rFonts w:ascii="仿宋_GB2312"/>
          <w:color w:val="auto"/>
        </w:rPr>
        <w:t>各</w:t>
      </w:r>
      <w:r>
        <w:rPr>
          <w:rFonts w:hint="eastAsia" w:ascii="仿宋_GB2312"/>
          <w:color w:val="auto"/>
        </w:rPr>
        <w:t>乡镇</w:t>
      </w:r>
      <w:r>
        <w:rPr>
          <w:rFonts w:ascii="仿宋_GB2312"/>
          <w:color w:val="auto"/>
        </w:rPr>
        <w:t>、各有关部门要</w:t>
      </w:r>
      <w:r>
        <w:rPr>
          <w:rFonts w:hint="eastAsia" w:ascii="仿宋_GB2312"/>
          <w:color w:val="auto"/>
        </w:rPr>
        <w:t>建立常态化沟通协调和信息共享机制，</w:t>
      </w:r>
      <w:r>
        <w:rPr>
          <w:rFonts w:ascii="仿宋_GB2312"/>
          <w:color w:val="auto"/>
        </w:rPr>
        <w:t>动态更新底数</w:t>
      </w:r>
      <w:r>
        <w:rPr>
          <w:rFonts w:hint="eastAsia" w:ascii="仿宋_GB2312"/>
          <w:color w:val="auto"/>
        </w:rPr>
        <w:t>库</w:t>
      </w:r>
      <w:r>
        <w:rPr>
          <w:rFonts w:ascii="仿宋_GB2312"/>
          <w:color w:val="auto"/>
        </w:rPr>
        <w:t>，实时掌握高层建筑信息变更情况，为高层建筑长效治理打下坚实基础。要结合职责分工，加强高层建筑许可审批、物业管理、燃气安全、电气安全、消防安全、应急处置等工作，整合执法资源，周密排查、刚性整治各类严重消防安全违法行为。对涉及职能交叉、多头管理的领域，区安全生产委员会</w:t>
      </w:r>
      <w:r>
        <w:rPr>
          <w:rFonts w:hint="eastAsia" w:ascii="仿宋_GB2312"/>
          <w:color w:val="auto"/>
        </w:rPr>
        <w:t>将</w:t>
      </w:r>
      <w:r>
        <w:rPr>
          <w:rFonts w:ascii="仿宋_GB2312"/>
          <w:color w:val="auto"/>
        </w:rPr>
        <w:t>提请</w:t>
      </w:r>
      <w:r>
        <w:rPr>
          <w:rFonts w:hint="eastAsia" w:ascii="仿宋_GB2312"/>
          <w:color w:val="auto"/>
        </w:rPr>
        <w:t>区</w:t>
      </w:r>
      <w:r>
        <w:rPr>
          <w:rFonts w:ascii="仿宋_GB2312"/>
          <w:color w:val="auto"/>
        </w:rPr>
        <w:t>政府按照“谁主管谁牵头、谁为主谁牵头、谁靠近谁牵头”的原则，明确牵头监管部门，严防推诿扯皮、漏管失控。</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ascii="仿宋_GB2312"/>
          <w:color w:val="auto"/>
        </w:rPr>
      </w:pPr>
      <w:r>
        <w:rPr>
          <w:rFonts w:ascii="楷体_GB2312" w:eastAsia="楷体_GB2312"/>
          <w:b/>
          <w:bCs/>
          <w:color w:val="auto"/>
          <w:kern w:val="0"/>
        </w:rPr>
        <w:t>（三）强化监督，严格问效。</w:t>
      </w:r>
      <w:r>
        <w:rPr>
          <w:rFonts w:ascii="仿宋_GB2312"/>
          <w:color w:val="auto"/>
        </w:rPr>
        <w:t>各</w:t>
      </w:r>
      <w:r>
        <w:rPr>
          <w:rFonts w:hint="eastAsia" w:ascii="仿宋_GB2312"/>
          <w:color w:val="auto"/>
        </w:rPr>
        <w:t>乡镇</w:t>
      </w:r>
      <w:r>
        <w:rPr>
          <w:rFonts w:ascii="仿宋_GB2312"/>
          <w:color w:val="auto"/>
        </w:rPr>
        <w:t>、各有关部门将专项整治工作纳入消防安全大检查和年度政府工作目标考核的重点内容，加大督导检查和责任追究力度，对物业服务企业（管理使用单位）自查不到位、弄虚作假、流于形式的，要实行信用惩戒，并纳入重点监管对象；对排查发现隐瞒不报的突出火灾隐患和消防违法行为，依法从严处理；对履职不力、工作迟滞、力度偏弱等问题，要予以通报批评、督办整改；对发生较大以上或有影响火灾事故的，要严格实行责任倒查。</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ascii="仿宋_GB2312"/>
          <w:color w:val="auto"/>
        </w:rPr>
      </w:pPr>
      <w:r>
        <w:rPr>
          <w:rFonts w:ascii="楷体_GB2312" w:eastAsia="楷体_GB2312"/>
          <w:b/>
          <w:bCs/>
          <w:color w:val="auto"/>
          <w:kern w:val="0"/>
        </w:rPr>
        <w:t>（四）完善机制，巩固提升。</w:t>
      </w:r>
      <w:r>
        <w:rPr>
          <w:rFonts w:ascii="仿宋_GB2312"/>
          <w:color w:val="auto"/>
        </w:rPr>
        <w:t>各</w:t>
      </w:r>
      <w:r>
        <w:rPr>
          <w:rFonts w:hint="eastAsia" w:ascii="仿宋_GB2312"/>
          <w:color w:val="auto"/>
        </w:rPr>
        <w:t>乡镇</w:t>
      </w:r>
      <w:r>
        <w:rPr>
          <w:rFonts w:ascii="仿宋_GB2312"/>
          <w:color w:val="auto"/>
        </w:rPr>
        <w:t>、各有关部门要坚持源头管控、群防群治，建立健全高层建筑信息共享、会商研判、情况通报、联合查处、案件移送等全链条监管工作机制，及时总结提炼、固化、推广成熟有效的治理方式、手段、模式，制定出台高层建筑消防安全管理的法规、标准、规章，组织开展高层建筑消防安全管理标准化建设，着力解决系统性、根源性、普遍性问题，不断提升高层建筑消防安全管理水平。</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ascii="仿宋_GB2312"/>
          <w:color w:val="auto"/>
        </w:rPr>
      </w:pPr>
      <w:r>
        <w:rPr>
          <w:rFonts w:hint="eastAsia" w:ascii="仿宋_GB2312"/>
          <w:color w:val="auto"/>
        </w:rPr>
        <w:t>请各乡镇人民政府、区安委会各成员单位、在崇市属有关</w:t>
      </w:r>
      <w:r>
        <w:rPr>
          <w:rFonts w:hint="eastAsia" w:ascii="仿宋_GB2312"/>
          <w:color w:val="auto"/>
          <w:lang w:eastAsia="zh-CN"/>
        </w:rPr>
        <w:t>单位</w:t>
      </w:r>
      <w:r>
        <w:rPr>
          <w:rFonts w:hint="eastAsia" w:ascii="仿宋_GB2312"/>
          <w:color w:val="auto"/>
        </w:rPr>
        <w:t>于2022年9月1</w:t>
      </w:r>
      <w:r>
        <w:rPr>
          <w:rFonts w:hint="eastAsia" w:ascii="仿宋_GB2312"/>
          <w:color w:val="auto"/>
          <w:lang w:val="en-US" w:eastAsia="zh-CN"/>
        </w:rPr>
        <w:t>9</w:t>
      </w:r>
      <w:r>
        <w:rPr>
          <w:rFonts w:hint="eastAsia" w:ascii="仿宋_GB2312"/>
          <w:color w:val="auto"/>
        </w:rPr>
        <w:t>日前报送分管领导和联络员信息表（附件3）。各单位</w:t>
      </w:r>
      <w:r>
        <w:rPr>
          <w:rFonts w:ascii="仿宋_GB2312"/>
          <w:color w:val="auto"/>
        </w:rPr>
        <w:t>高层建筑重大火灾风险专项整治工作部署及推进情况，请及时报送（联系人及电话:</w:t>
      </w:r>
      <w:r>
        <w:rPr>
          <w:rFonts w:hint="eastAsia" w:ascii="仿宋_GB2312"/>
          <w:color w:val="auto"/>
        </w:rPr>
        <w:t>韩亮</w:t>
      </w:r>
      <w:r>
        <w:rPr>
          <w:rFonts w:ascii="仿宋_GB2312"/>
          <w:color w:val="auto"/>
        </w:rPr>
        <w:t>，</w:t>
      </w:r>
      <w:r>
        <w:rPr>
          <w:rFonts w:hint="eastAsia" w:ascii="仿宋_GB2312"/>
          <w:color w:val="auto"/>
        </w:rPr>
        <w:t>18121199296；电子邮箱：cmxf_119@163.com</w:t>
      </w:r>
      <w:r>
        <w:rPr>
          <w:rFonts w:ascii="仿宋_GB2312"/>
          <w:color w:val="auto"/>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color w:val="auto"/>
        </w:rPr>
      </w:pPr>
      <w:r>
        <w:rPr>
          <w:rFonts w:ascii="仿宋_GB2312"/>
          <w:color w:val="auto"/>
        </w:rPr>
        <w:t>附件</w:t>
      </w:r>
      <w:r>
        <w:rPr>
          <w:rFonts w:hint="eastAsia" w:ascii="仿宋_GB2312"/>
          <w:color w:val="auto"/>
          <w:lang w:eastAsia="zh-CN"/>
        </w:rPr>
        <w:t>：</w:t>
      </w:r>
      <w:r>
        <w:rPr>
          <w:rFonts w:hint="eastAsia" w:ascii="仿宋_GB2312"/>
          <w:color w:val="auto"/>
          <w:lang w:val="en-US" w:eastAsia="zh-CN"/>
        </w:rPr>
        <w:t>1.</w:t>
      </w:r>
      <w:r>
        <w:rPr>
          <w:rFonts w:ascii="仿宋_GB2312"/>
          <w:color w:val="auto"/>
        </w:rPr>
        <w:t>老旧高层商住混合体、高层公共建筑排查情况登记</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920" w:leftChars="500" w:hanging="320" w:hangingChars="100"/>
        <w:textAlignment w:val="auto"/>
        <w:outlineLvl w:val="9"/>
        <w:rPr>
          <w:rFonts w:hint="eastAsia" w:ascii="仿宋_GB2312"/>
          <w:color w:val="auto"/>
        </w:rPr>
      </w:pPr>
      <w:r>
        <w:rPr>
          <w:rFonts w:hint="eastAsia" w:ascii="仿宋_GB2312"/>
          <w:color w:val="auto"/>
          <w:lang w:val="en-US" w:eastAsia="zh-CN"/>
        </w:rPr>
        <w:t>2.</w:t>
      </w:r>
      <w:r>
        <w:rPr>
          <w:rFonts w:hint="eastAsia" w:ascii="仿宋_GB2312"/>
          <w:color w:val="auto"/>
        </w:rPr>
        <w:t>高层建筑排查问题隐患、整治措施、责任单位汇总清单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1600" w:firstLineChars="500"/>
        <w:textAlignment w:val="auto"/>
        <w:outlineLvl w:val="9"/>
        <w:rPr>
          <w:rFonts w:eastAsia="方正黑体_GBK"/>
          <w:bCs/>
          <w:color w:val="auto"/>
          <w:kern w:val="0"/>
        </w:rPr>
      </w:pPr>
      <w:r>
        <w:rPr>
          <w:rFonts w:hint="eastAsia" w:ascii="仿宋_GB2312"/>
          <w:color w:val="auto"/>
          <w:lang w:val="en-US" w:eastAsia="zh-CN"/>
        </w:rPr>
        <w:t>3.</w:t>
      </w:r>
      <w:r>
        <w:rPr>
          <w:rFonts w:hint="eastAsia" w:ascii="仿宋_GB2312"/>
          <w:color w:val="auto"/>
        </w:rPr>
        <w:t>分管领导和联络员信息表</w:t>
      </w:r>
    </w:p>
    <w:p>
      <w:pPr>
        <w:adjustRightInd w:val="0"/>
        <w:snapToGrid w:val="0"/>
        <w:spacing w:line="560" w:lineRule="exact"/>
        <w:ind w:left="0" w:leftChars="0" w:firstLine="1600" w:firstLineChars="500"/>
        <w:rPr>
          <w:rFonts w:eastAsia="方正黑体_GBK"/>
          <w:bCs/>
          <w:color w:val="auto"/>
          <w:kern w:val="0"/>
        </w:rPr>
      </w:pPr>
    </w:p>
    <w:p>
      <w:pPr>
        <w:adjustRightInd w:val="0"/>
        <w:snapToGrid w:val="0"/>
        <w:spacing w:line="560" w:lineRule="exact"/>
        <w:rPr>
          <w:rFonts w:hint="eastAsia" w:ascii="黑体" w:hAnsi="黑体" w:eastAsia="黑体" w:cs="黑体"/>
          <w:bCs/>
          <w:color w:val="auto"/>
          <w:kern w:val="0"/>
          <w:sz w:val="32"/>
          <w:szCs w:val="32"/>
        </w:rPr>
      </w:pPr>
    </w:p>
    <w:p>
      <w:pPr>
        <w:rPr>
          <w:rFonts w:hint="eastAsia" w:ascii="黑体" w:hAnsi="黑体" w:eastAsia="黑体" w:cs="黑体"/>
          <w:bCs/>
          <w:color w:val="auto"/>
          <w:kern w:val="0"/>
          <w:sz w:val="32"/>
          <w:szCs w:val="32"/>
        </w:rPr>
      </w:pPr>
      <w:r>
        <w:rPr>
          <w:rFonts w:hint="eastAsia" w:ascii="黑体" w:hAnsi="黑体" w:eastAsia="黑体" w:cs="黑体"/>
          <w:bCs/>
          <w:color w:val="auto"/>
          <w:kern w:val="0"/>
          <w:sz w:val="32"/>
          <w:szCs w:val="32"/>
        </w:rPr>
        <w:br w:type="page"/>
      </w:r>
    </w:p>
    <w:p>
      <w:pPr>
        <w:adjustRightInd w:val="0"/>
        <w:snapToGrid w:val="0"/>
        <w:spacing w:line="560" w:lineRule="exact"/>
        <w:rPr>
          <w:rFonts w:hint="eastAsia" w:ascii="黑体" w:hAnsi="黑体" w:eastAsia="黑体" w:cs="黑体"/>
          <w:color w:val="auto"/>
          <w:sz w:val="32"/>
          <w:szCs w:val="32"/>
        </w:rPr>
      </w:pPr>
      <w:r>
        <w:rPr>
          <w:rFonts w:hint="eastAsia" w:ascii="黑体" w:hAnsi="黑体" w:eastAsia="黑体" w:cs="黑体"/>
          <w:bCs/>
          <w:color w:val="auto"/>
          <w:kern w:val="0"/>
          <w:sz w:val="32"/>
          <w:szCs w:val="32"/>
        </w:rPr>
        <w:t>附件</w:t>
      </w:r>
      <w:r>
        <w:rPr>
          <w:rFonts w:hint="eastAsia" w:ascii="黑体" w:hAnsi="黑体" w:eastAsia="黑体" w:cs="黑体"/>
          <w:bCs/>
          <w:color w:val="auto"/>
          <w:kern w:val="0"/>
          <w:sz w:val="32"/>
          <w:szCs w:val="32"/>
          <w:lang w:val="en-US" w:eastAsia="zh-CN"/>
        </w:rPr>
        <w:t>1</w:t>
      </w:r>
      <w:r>
        <w:rPr>
          <w:rFonts w:hint="eastAsia" w:ascii="黑体" w:hAnsi="黑体" w:eastAsia="黑体" w:cs="黑体"/>
          <w:color w:val="auto"/>
          <w:sz w:val="32"/>
          <w:szCs w:val="32"/>
        </w:rPr>
        <w:t xml:space="preserve"> </w:t>
      </w:r>
    </w:p>
    <w:p>
      <w:pPr>
        <w:pStyle w:val="11"/>
        <w:spacing w:line="540" w:lineRule="exact"/>
        <w:rPr>
          <w:rFonts w:ascii="Times New Roman"/>
          <w:color w:val="auto"/>
        </w:rPr>
      </w:pPr>
      <w:r>
        <w:rPr>
          <w:rFonts w:hint="eastAsia" w:ascii="Times New Roman"/>
          <w:color w:val="auto"/>
        </w:rPr>
        <w:t>老旧高层商住混合体、高层公共建筑</w:t>
      </w:r>
    </w:p>
    <w:p>
      <w:pPr>
        <w:pStyle w:val="11"/>
        <w:spacing w:line="540" w:lineRule="exact"/>
        <w:rPr>
          <w:rFonts w:ascii="Times New Roman"/>
          <w:color w:val="auto"/>
        </w:rPr>
      </w:pPr>
      <w:r>
        <w:rPr>
          <w:rFonts w:hint="eastAsia" w:ascii="Times New Roman"/>
          <w:color w:val="auto"/>
        </w:rPr>
        <w:t>排查情况登记表</w:t>
      </w:r>
    </w:p>
    <w:tbl>
      <w:tblPr>
        <w:tblStyle w:val="9"/>
        <w:tblW w:w="10044" w:type="dxa"/>
        <w:jc w:val="center"/>
        <w:tblInd w:w="0" w:type="dxa"/>
        <w:shd w:val="clear" w:color="auto" w:fill="FFFFFF"/>
        <w:tblLayout w:type="fixed"/>
        <w:tblCellMar>
          <w:top w:w="0" w:type="dxa"/>
          <w:left w:w="108" w:type="dxa"/>
          <w:bottom w:w="0" w:type="dxa"/>
          <w:right w:w="108" w:type="dxa"/>
        </w:tblCellMar>
      </w:tblPr>
      <w:tblGrid>
        <w:gridCol w:w="843"/>
        <w:gridCol w:w="880"/>
        <w:gridCol w:w="444"/>
        <w:gridCol w:w="550"/>
        <w:gridCol w:w="235"/>
        <w:gridCol w:w="370"/>
        <w:gridCol w:w="376"/>
        <w:gridCol w:w="526"/>
        <w:gridCol w:w="98"/>
        <w:gridCol w:w="297"/>
        <w:gridCol w:w="508"/>
        <w:gridCol w:w="394"/>
        <w:gridCol w:w="333"/>
        <w:gridCol w:w="157"/>
        <w:gridCol w:w="173"/>
        <w:gridCol w:w="454"/>
        <w:gridCol w:w="382"/>
        <w:gridCol w:w="169"/>
        <w:gridCol w:w="36"/>
        <w:gridCol w:w="133"/>
        <w:gridCol w:w="635"/>
        <w:gridCol w:w="251"/>
        <w:gridCol w:w="177"/>
        <w:gridCol w:w="28"/>
        <w:gridCol w:w="167"/>
        <w:gridCol w:w="88"/>
        <w:gridCol w:w="508"/>
        <w:gridCol w:w="354"/>
        <w:gridCol w:w="478"/>
      </w:tblGrid>
      <w:tr>
        <w:tblPrEx>
          <w:shd w:val="clear" w:color="auto" w:fill="FFFFFF"/>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1.基本</w:t>
            </w:r>
          </w:p>
          <w:p>
            <w:pPr>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情况</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1.建筑物名称</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2.建筑物地址</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区        街道（镇）         路        弄       号</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3.业主单位（非必填）</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098" w:type="dxa"/>
            <w:gridSpan w:val="8"/>
            <w:tcBorders>
              <w:top w:val="single" w:color="auto" w:sz="4" w:space="0"/>
              <w:left w:val="single" w:color="auto" w:sz="4" w:space="0"/>
              <w:bottom w:val="single" w:color="auto" w:sz="4" w:space="0"/>
              <w:right w:val="single" w:color="auto" w:sz="4" w:space="0"/>
            </w:tcBorders>
            <w:shd w:val="clear" w:color="auto" w:fill="FFFFFF"/>
            <w:vAlign w:val="center"/>
          </w:tcPr>
          <w:p>
            <w:pPr>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4.统一社会信用代码</w:t>
            </w:r>
          </w:p>
        </w:tc>
        <w:tc>
          <w:tcPr>
            <w:tcW w:w="2819"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5.业主单位联系人</w:t>
            </w:r>
          </w:p>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（非必填）</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098" w:type="dxa"/>
            <w:gridSpan w:val="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6.联系电话</w:t>
            </w:r>
          </w:p>
        </w:tc>
        <w:tc>
          <w:tcPr>
            <w:tcW w:w="2819"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7</w:t>
            </w:r>
            <w:r>
              <w:rPr>
                <w:rFonts w:asciiTheme="minorEastAsia" w:hAnsiTheme="minorEastAsia" w:eastAsiaTheme="minorEastAsia"/>
                <w:color w:val="auto"/>
                <w:sz w:val="18"/>
                <w:szCs w:val="18"/>
              </w:rPr>
              <w:t>.是否同一建筑有两个及以上业主、使用人</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98" w:type="dxa"/>
            <w:gridSpan w:val="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8</w:t>
            </w:r>
            <w:r>
              <w:rPr>
                <w:rFonts w:asciiTheme="minorEastAsia" w:hAnsiTheme="minorEastAsia" w:eastAsiaTheme="minorEastAsia"/>
                <w:color w:val="auto"/>
                <w:sz w:val="18"/>
                <w:szCs w:val="18"/>
              </w:rPr>
              <w:t>.是否委托物业服务企业或明确统一管理人</w:t>
            </w:r>
          </w:p>
        </w:tc>
        <w:tc>
          <w:tcPr>
            <w:tcW w:w="2819"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9</w:t>
            </w:r>
            <w:r>
              <w:rPr>
                <w:rFonts w:asciiTheme="minorEastAsia" w:hAnsiTheme="minorEastAsia" w:eastAsiaTheme="minorEastAsia"/>
                <w:color w:val="auto"/>
                <w:kern w:val="0"/>
                <w:sz w:val="18"/>
                <w:szCs w:val="18"/>
              </w:rPr>
              <w:t>.物业管理单位</w:t>
            </w:r>
          </w:p>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（可填多个）</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098" w:type="dxa"/>
            <w:gridSpan w:val="8"/>
            <w:tcBorders>
              <w:top w:val="single" w:color="auto" w:sz="4" w:space="0"/>
              <w:left w:val="single" w:color="auto" w:sz="4" w:space="0"/>
              <w:bottom w:val="single" w:color="auto" w:sz="4" w:space="0"/>
              <w:right w:val="single" w:color="auto" w:sz="4" w:space="0"/>
            </w:tcBorders>
            <w:shd w:val="clear" w:color="auto" w:fill="FFFFFF"/>
            <w:vAlign w:val="center"/>
          </w:tcPr>
          <w:p>
            <w:pPr>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w:t>
            </w:r>
            <w:r>
              <w:rPr>
                <w:rFonts w:hint="eastAsia" w:asciiTheme="minorEastAsia" w:hAnsiTheme="minorEastAsia" w:eastAsiaTheme="minorEastAsia"/>
                <w:color w:val="auto"/>
                <w:kern w:val="0"/>
                <w:sz w:val="18"/>
                <w:szCs w:val="18"/>
              </w:rPr>
              <w:t>0</w:t>
            </w:r>
            <w:r>
              <w:rPr>
                <w:rFonts w:asciiTheme="minorEastAsia" w:hAnsiTheme="minorEastAsia" w:eastAsiaTheme="minorEastAsia"/>
                <w:color w:val="auto"/>
                <w:kern w:val="0"/>
                <w:sz w:val="18"/>
                <w:szCs w:val="18"/>
              </w:rPr>
              <w:t>.统一社会信用代码</w:t>
            </w:r>
          </w:p>
        </w:tc>
        <w:tc>
          <w:tcPr>
            <w:tcW w:w="2819"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w:t>
            </w:r>
            <w:r>
              <w:rPr>
                <w:rFonts w:hint="eastAsia" w:asciiTheme="minorEastAsia" w:hAnsiTheme="minorEastAsia" w:eastAsiaTheme="minorEastAsia"/>
                <w:color w:val="auto"/>
                <w:kern w:val="0"/>
                <w:sz w:val="18"/>
                <w:szCs w:val="18"/>
              </w:rPr>
              <w:t>1</w:t>
            </w:r>
            <w:r>
              <w:rPr>
                <w:rFonts w:asciiTheme="minorEastAsia" w:hAnsiTheme="minorEastAsia" w:eastAsiaTheme="minorEastAsia"/>
                <w:color w:val="auto"/>
                <w:kern w:val="0"/>
                <w:sz w:val="18"/>
                <w:szCs w:val="18"/>
              </w:rPr>
              <w:t>.物业管理单位联系人</w:t>
            </w:r>
          </w:p>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（必填）</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098" w:type="dxa"/>
            <w:gridSpan w:val="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w:t>
            </w:r>
            <w:r>
              <w:rPr>
                <w:rFonts w:hint="eastAsia" w:asciiTheme="minorEastAsia" w:hAnsiTheme="minorEastAsia" w:eastAsiaTheme="minorEastAsia"/>
                <w:color w:val="auto"/>
                <w:kern w:val="0"/>
                <w:sz w:val="18"/>
                <w:szCs w:val="18"/>
              </w:rPr>
              <w:t>2</w:t>
            </w:r>
            <w:r>
              <w:rPr>
                <w:rFonts w:asciiTheme="minorEastAsia" w:hAnsiTheme="minorEastAsia" w:eastAsiaTheme="minorEastAsia"/>
                <w:color w:val="auto"/>
                <w:kern w:val="0"/>
                <w:sz w:val="18"/>
                <w:szCs w:val="18"/>
              </w:rPr>
              <w:t>.联系电话</w:t>
            </w:r>
          </w:p>
        </w:tc>
        <w:tc>
          <w:tcPr>
            <w:tcW w:w="2819"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w:t>
            </w:r>
            <w:r>
              <w:rPr>
                <w:rFonts w:hint="eastAsia" w:asciiTheme="minorEastAsia" w:hAnsiTheme="minorEastAsia" w:eastAsiaTheme="minorEastAsia"/>
                <w:color w:val="auto"/>
                <w:kern w:val="0"/>
                <w:sz w:val="18"/>
                <w:szCs w:val="18"/>
              </w:rPr>
              <w:t>3</w:t>
            </w:r>
            <w:r>
              <w:rPr>
                <w:rFonts w:asciiTheme="minorEastAsia" w:hAnsiTheme="minorEastAsia" w:eastAsiaTheme="minorEastAsia"/>
                <w:color w:val="auto"/>
                <w:kern w:val="0"/>
                <w:sz w:val="18"/>
                <w:szCs w:val="18"/>
              </w:rPr>
              <w:t>.物业管理单位（多个需填写负责管理区域）</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14</w:t>
            </w:r>
            <w:r>
              <w:rPr>
                <w:rFonts w:asciiTheme="minorEastAsia" w:hAnsiTheme="minorEastAsia" w:eastAsiaTheme="minorEastAsia"/>
                <w:color w:val="auto"/>
                <w:sz w:val="18"/>
                <w:szCs w:val="18"/>
              </w:rPr>
              <w:t>. 是否聘请</w:t>
            </w:r>
            <w:r>
              <w:rPr>
                <w:rFonts w:hint="eastAsia" w:asciiTheme="minorEastAsia" w:hAnsiTheme="minorEastAsia" w:eastAsiaTheme="minorEastAsia"/>
                <w:color w:val="auto"/>
                <w:sz w:val="18"/>
                <w:szCs w:val="18"/>
              </w:rPr>
              <w:t>消防技术服务机构开展建筑消防设施</w:t>
            </w:r>
            <w:r>
              <w:rPr>
                <w:rFonts w:hint="eastAsia" w:asciiTheme="minorEastAsia" w:hAnsiTheme="minorEastAsia" w:eastAsiaTheme="minorEastAsia"/>
                <w:color w:val="auto"/>
                <w:kern w:val="0"/>
                <w:sz w:val="18"/>
                <w:szCs w:val="18"/>
              </w:rPr>
              <w:t>维护保养</w:t>
            </w:r>
          </w:p>
        </w:tc>
        <w:tc>
          <w:tcPr>
            <w:tcW w:w="605" w:type="dxa"/>
            <w:gridSpan w:val="2"/>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pacing w:val="-12"/>
                <w:kern w:val="0"/>
                <w:sz w:val="18"/>
                <w:szCs w:val="18"/>
              </w:rPr>
              <w:t>是□</w:t>
            </w:r>
          </w:p>
        </w:tc>
        <w:tc>
          <w:tcPr>
            <w:tcW w:w="902" w:type="dxa"/>
            <w:gridSpan w:val="2"/>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聘用家数（填数字）家</w:t>
            </w: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消防技术服务机构</w:t>
            </w:r>
            <w:r>
              <w:rPr>
                <w:rFonts w:asciiTheme="minorEastAsia" w:hAnsiTheme="minorEastAsia" w:eastAsiaTheme="minorEastAsia"/>
                <w:color w:val="auto"/>
                <w:kern w:val="0"/>
                <w:sz w:val="18"/>
                <w:szCs w:val="18"/>
              </w:rPr>
              <w:t>名称</w:t>
            </w:r>
            <w:r>
              <w:rPr>
                <w:rFonts w:hint="eastAsia" w:asciiTheme="minorEastAsia" w:hAnsiTheme="minorEastAsia" w:eastAsiaTheme="minorEastAsia"/>
                <w:color w:val="auto"/>
                <w:kern w:val="0"/>
                <w:sz w:val="18"/>
                <w:szCs w:val="18"/>
              </w:rPr>
              <w:t>1：</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统一社会信用代码</w:t>
            </w:r>
            <w:r>
              <w:rPr>
                <w:rFonts w:hint="eastAsia" w:asciiTheme="minorEastAsia" w:hAnsiTheme="minorEastAsia" w:eastAsiaTheme="minorEastAsia"/>
                <w:color w:val="auto"/>
                <w:kern w:val="0"/>
                <w:sz w:val="18"/>
                <w:szCs w:val="18"/>
              </w:rPr>
              <w:t>1：</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项目负责人姓名：</w:t>
            </w:r>
          </w:p>
          <w:p>
            <w:pPr>
              <w:widowControl/>
              <w:snapToGrid w:val="0"/>
              <w:spacing w:line="220" w:lineRule="exac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项目负责人手机号码：</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p>
        </w:tc>
        <w:tc>
          <w:tcPr>
            <w:tcW w:w="902" w:type="dxa"/>
            <w:gridSpan w:val="2"/>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消防技术服务机构</w:t>
            </w:r>
            <w:r>
              <w:rPr>
                <w:rFonts w:asciiTheme="minorEastAsia" w:hAnsiTheme="minorEastAsia" w:eastAsiaTheme="minorEastAsia"/>
                <w:color w:val="auto"/>
                <w:kern w:val="0"/>
                <w:sz w:val="18"/>
                <w:szCs w:val="18"/>
              </w:rPr>
              <w:t>名称</w:t>
            </w:r>
            <w:r>
              <w:rPr>
                <w:rFonts w:hint="eastAsia" w:asciiTheme="minorEastAsia" w:hAnsiTheme="minorEastAsia" w:eastAsiaTheme="minorEastAsia"/>
                <w:color w:val="auto"/>
                <w:kern w:val="0"/>
                <w:sz w:val="18"/>
                <w:szCs w:val="18"/>
              </w:rPr>
              <w:t>2：</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统一社会信用代码</w:t>
            </w:r>
            <w:r>
              <w:rPr>
                <w:rFonts w:hint="eastAsia" w:asciiTheme="minorEastAsia" w:hAnsiTheme="minorEastAsia" w:eastAsiaTheme="minorEastAsia"/>
                <w:color w:val="auto"/>
                <w:kern w:val="0"/>
                <w:sz w:val="18"/>
                <w:szCs w:val="18"/>
              </w:rPr>
              <w:t>2：</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项目负责人姓名：</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项目负责人手机号码：</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p>
        </w:tc>
        <w:tc>
          <w:tcPr>
            <w:tcW w:w="902" w:type="dxa"/>
            <w:gridSpan w:val="2"/>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否□</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restart"/>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hint="eastAsia" w:asciiTheme="minorEastAsia" w:hAnsiTheme="minorEastAsia" w:eastAsiaTheme="minorEastAsia"/>
                <w:color w:val="auto"/>
                <w:sz w:val="18"/>
                <w:szCs w:val="18"/>
              </w:rPr>
              <w:t>15</w:t>
            </w:r>
            <w:r>
              <w:rPr>
                <w:rFonts w:asciiTheme="minorEastAsia" w:hAnsiTheme="minorEastAsia" w:eastAsiaTheme="minorEastAsia"/>
                <w:color w:val="auto"/>
                <w:sz w:val="18"/>
                <w:szCs w:val="18"/>
              </w:rPr>
              <w:t>. 是否聘请</w:t>
            </w:r>
            <w:r>
              <w:rPr>
                <w:rFonts w:hint="eastAsia" w:asciiTheme="minorEastAsia" w:hAnsiTheme="minorEastAsia" w:eastAsiaTheme="minorEastAsia"/>
                <w:color w:val="auto"/>
                <w:sz w:val="18"/>
                <w:szCs w:val="18"/>
              </w:rPr>
              <w:t>消防技术服务机构开展建筑消防设施</w:t>
            </w:r>
            <w:r>
              <w:rPr>
                <w:rFonts w:hint="eastAsia" w:asciiTheme="minorEastAsia" w:hAnsiTheme="minorEastAsia" w:eastAsiaTheme="minorEastAsia"/>
                <w:color w:val="auto"/>
                <w:kern w:val="0"/>
                <w:sz w:val="18"/>
                <w:szCs w:val="18"/>
              </w:rPr>
              <w:t>检测</w:t>
            </w:r>
          </w:p>
        </w:tc>
        <w:tc>
          <w:tcPr>
            <w:tcW w:w="605" w:type="dxa"/>
            <w:gridSpan w:val="2"/>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是□</w:t>
            </w:r>
          </w:p>
        </w:tc>
        <w:tc>
          <w:tcPr>
            <w:tcW w:w="902" w:type="dxa"/>
            <w:gridSpan w:val="2"/>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聘用家数（填数字）家</w:t>
            </w: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消防技术服务机构</w:t>
            </w:r>
            <w:r>
              <w:rPr>
                <w:rFonts w:asciiTheme="minorEastAsia" w:hAnsiTheme="minorEastAsia" w:eastAsiaTheme="minorEastAsia"/>
                <w:color w:val="auto"/>
                <w:kern w:val="0"/>
                <w:sz w:val="18"/>
                <w:szCs w:val="18"/>
              </w:rPr>
              <w:t>名称</w:t>
            </w:r>
            <w:r>
              <w:rPr>
                <w:rFonts w:hint="eastAsia" w:asciiTheme="minorEastAsia" w:hAnsiTheme="minorEastAsia" w:eastAsiaTheme="minorEastAsia"/>
                <w:color w:val="auto"/>
                <w:kern w:val="0"/>
                <w:sz w:val="18"/>
                <w:szCs w:val="18"/>
              </w:rPr>
              <w:t>1：</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统一社会信用代码</w:t>
            </w:r>
            <w:r>
              <w:rPr>
                <w:rFonts w:hint="eastAsia" w:asciiTheme="minorEastAsia" w:hAnsiTheme="minorEastAsia" w:eastAsiaTheme="minorEastAsia"/>
                <w:color w:val="auto"/>
                <w:kern w:val="0"/>
                <w:sz w:val="18"/>
                <w:szCs w:val="18"/>
              </w:rPr>
              <w:t>1：</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项目负责人姓名：</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项目负责人手机号码：</w:t>
            </w:r>
          </w:p>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p>
        </w:tc>
        <w:tc>
          <w:tcPr>
            <w:tcW w:w="902" w:type="dxa"/>
            <w:gridSpan w:val="2"/>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消防技术服务机构</w:t>
            </w:r>
            <w:r>
              <w:rPr>
                <w:rFonts w:asciiTheme="minorEastAsia" w:hAnsiTheme="minorEastAsia" w:eastAsiaTheme="minorEastAsia"/>
                <w:color w:val="auto"/>
                <w:kern w:val="0"/>
                <w:sz w:val="18"/>
                <w:szCs w:val="18"/>
              </w:rPr>
              <w:t>名称</w:t>
            </w:r>
            <w:r>
              <w:rPr>
                <w:rFonts w:hint="eastAsia" w:asciiTheme="minorEastAsia" w:hAnsiTheme="minorEastAsia" w:eastAsiaTheme="minorEastAsia"/>
                <w:color w:val="auto"/>
                <w:kern w:val="0"/>
                <w:sz w:val="18"/>
                <w:szCs w:val="18"/>
              </w:rPr>
              <w:t>2：</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统一社会信用代码</w:t>
            </w:r>
            <w:r>
              <w:rPr>
                <w:rFonts w:hint="eastAsia" w:asciiTheme="minorEastAsia" w:hAnsiTheme="minorEastAsia" w:eastAsiaTheme="minorEastAsia"/>
                <w:color w:val="auto"/>
                <w:kern w:val="0"/>
                <w:sz w:val="18"/>
                <w:szCs w:val="18"/>
              </w:rPr>
              <w:t>2：</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项目负责人姓名：</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项目负责人手机号码：</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p>
        </w:tc>
        <w:tc>
          <w:tcPr>
            <w:tcW w:w="902" w:type="dxa"/>
            <w:gridSpan w:val="2"/>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否□</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restart"/>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hint="eastAsia" w:asciiTheme="minorEastAsia" w:hAnsiTheme="minorEastAsia" w:eastAsiaTheme="minorEastAsia"/>
                <w:color w:val="auto"/>
                <w:sz w:val="18"/>
                <w:szCs w:val="18"/>
              </w:rPr>
              <w:t>1</w:t>
            </w:r>
            <w:r>
              <w:rPr>
                <w:rFonts w:asciiTheme="minorEastAsia" w:hAnsiTheme="minorEastAsia" w:eastAsiaTheme="minorEastAsia"/>
                <w:color w:val="auto"/>
                <w:sz w:val="18"/>
                <w:szCs w:val="18"/>
              </w:rPr>
              <w:t>6. 是否聘请</w:t>
            </w:r>
            <w:r>
              <w:rPr>
                <w:rFonts w:hint="eastAsia" w:asciiTheme="minorEastAsia" w:hAnsiTheme="minorEastAsia" w:eastAsiaTheme="minorEastAsia"/>
                <w:color w:val="auto"/>
                <w:sz w:val="18"/>
                <w:szCs w:val="18"/>
              </w:rPr>
              <w:t>消防技术服务机构开展消防安全评估</w:t>
            </w:r>
          </w:p>
        </w:tc>
        <w:tc>
          <w:tcPr>
            <w:tcW w:w="605" w:type="dxa"/>
            <w:gridSpan w:val="2"/>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是□</w:t>
            </w:r>
          </w:p>
        </w:tc>
        <w:tc>
          <w:tcPr>
            <w:tcW w:w="902" w:type="dxa"/>
            <w:gridSpan w:val="2"/>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聘用家数（填数字）家</w:t>
            </w: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消防技术服务机构</w:t>
            </w:r>
            <w:r>
              <w:rPr>
                <w:rFonts w:asciiTheme="minorEastAsia" w:hAnsiTheme="minorEastAsia" w:eastAsiaTheme="minorEastAsia"/>
                <w:color w:val="auto"/>
                <w:kern w:val="0"/>
                <w:sz w:val="18"/>
                <w:szCs w:val="18"/>
              </w:rPr>
              <w:t>名称</w:t>
            </w:r>
            <w:r>
              <w:rPr>
                <w:rFonts w:hint="eastAsia" w:asciiTheme="minorEastAsia" w:hAnsiTheme="minorEastAsia" w:eastAsiaTheme="minorEastAsia"/>
                <w:color w:val="auto"/>
                <w:kern w:val="0"/>
                <w:sz w:val="18"/>
                <w:szCs w:val="18"/>
              </w:rPr>
              <w:t>1：</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统一社会信用代码</w:t>
            </w:r>
            <w:r>
              <w:rPr>
                <w:rFonts w:hint="eastAsia" w:asciiTheme="minorEastAsia" w:hAnsiTheme="minorEastAsia" w:eastAsiaTheme="minorEastAsia"/>
                <w:color w:val="auto"/>
                <w:kern w:val="0"/>
                <w:sz w:val="18"/>
                <w:szCs w:val="18"/>
              </w:rPr>
              <w:t>1：</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项目负责人姓名：</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项目负责人手机号码：</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p>
        </w:tc>
        <w:tc>
          <w:tcPr>
            <w:tcW w:w="902" w:type="dxa"/>
            <w:gridSpan w:val="2"/>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消防技术服务机构</w:t>
            </w:r>
            <w:r>
              <w:rPr>
                <w:rFonts w:asciiTheme="minorEastAsia" w:hAnsiTheme="minorEastAsia" w:eastAsiaTheme="minorEastAsia"/>
                <w:color w:val="auto"/>
                <w:kern w:val="0"/>
                <w:sz w:val="18"/>
                <w:szCs w:val="18"/>
              </w:rPr>
              <w:t>名称</w:t>
            </w:r>
            <w:r>
              <w:rPr>
                <w:rFonts w:hint="eastAsia" w:asciiTheme="minorEastAsia" w:hAnsiTheme="minorEastAsia" w:eastAsiaTheme="minorEastAsia"/>
                <w:color w:val="auto"/>
                <w:kern w:val="0"/>
                <w:sz w:val="18"/>
                <w:szCs w:val="18"/>
              </w:rPr>
              <w:t>2：</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统一社会信用代码</w:t>
            </w:r>
            <w:r>
              <w:rPr>
                <w:rFonts w:hint="eastAsia" w:asciiTheme="minorEastAsia" w:hAnsiTheme="minorEastAsia" w:eastAsiaTheme="minorEastAsia"/>
                <w:color w:val="auto"/>
                <w:kern w:val="0"/>
                <w:sz w:val="18"/>
                <w:szCs w:val="18"/>
              </w:rPr>
              <w:t>2：</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项目负责人姓名：</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项目负责人手机号码：</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 xml:space="preserve">            </w:t>
            </w:r>
          </w:p>
        </w:tc>
      </w:tr>
      <w:tr>
        <w:tblPrEx>
          <w:tblLayout w:type="fixed"/>
          <w:tblCellMar>
            <w:top w:w="0" w:type="dxa"/>
            <w:left w:w="108" w:type="dxa"/>
            <w:bottom w:w="0" w:type="dxa"/>
            <w:right w:w="108" w:type="dxa"/>
          </w:tblCellMar>
        </w:tblPrEx>
        <w:trPr>
          <w:trHeight w:val="22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p>
        </w:tc>
        <w:tc>
          <w:tcPr>
            <w:tcW w:w="902" w:type="dxa"/>
            <w:gridSpan w:val="2"/>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78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347"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346"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34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b/>
                <w:color w:val="auto"/>
                <w:sz w:val="18"/>
                <w:szCs w:val="18"/>
              </w:rPr>
            </w:pPr>
          </w:p>
        </w:tc>
        <w:tc>
          <w:tcPr>
            <w:tcW w:w="60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否□</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restart"/>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b/>
                <w:color w:val="auto"/>
                <w:sz w:val="18"/>
                <w:szCs w:val="18"/>
              </w:rPr>
            </w:pPr>
            <w:r>
              <w:rPr>
                <w:rFonts w:asciiTheme="minorEastAsia" w:hAnsiTheme="minorEastAsia" w:eastAsiaTheme="minorEastAsia"/>
                <w:color w:val="auto"/>
                <w:sz w:val="18"/>
                <w:szCs w:val="18"/>
              </w:rPr>
              <w:t>1</w:t>
            </w:r>
            <w:r>
              <w:rPr>
                <w:rFonts w:hint="eastAsia" w:asciiTheme="minorEastAsia" w:hAnsiTheme="minorEastAsia" w:eastAsiaTheme="minorEastAsia"/>
                <w:color w:val="auto"/>
                <w:sz w:val="18"/>
                <w:szCs w:val="18"/>
              </w:rPr>
              <w:t>7</w:t>
            </w:r>
            <w:r>
              <w:rPr>
                <w:rFonts w:asciiTheme="minorEastAsia" w:hAnsiTheme="minorEastAsia" w:eastAsiaTheme="minorEastAsia"/>
                <w:color w:val="auto"/>
                <w:sz w:val="18"/>
                <w:szCs w:val="18"/>
              </w:rPr>
              <w:t>.是否设有消防控制室</w:t>
            </w:r>
          </w:p>
        </w:tc>
        <w:tc>
          <w:tcPr>
            <w:tcW w:w="60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是□</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sz w:val="18"/>
                <w:szCs w:val="18"/>
              </w:rPr>
              <w:t>消防控制室持证上岗人数（）人</w:t>
            </w:r>
          </w:p>
        </w:tc>
      </w:tr>
      <w:tr>
        <w:tblPrEx>
          <w:tblLayout w:type="fixed"/>
          <w:tblCellMar>
            <w:top w:w="0" w:type="dxa"/>
            <w:left w:w="108" w:type="dxa"/>
            <w:bottom w:w="0" w:type="dxa"/>
            <w:right w:w="108" w:type="dxa"/>
          </w:tblCellMar>
        </w:tblPrEx>
        <w:trPr>
          <w:trHeight w:val="70" w:hRule="atLeast"/>
          <w:jc w:val="center"/>
        </w:trPr>
        <w:tc>
          <w:tcPr>
            <w:tcW w:w="843" w:type="dxa"/>
            <w:vMerge w:val="continue"/>
            <w:tcBorders>
              <w:left w:val="single" w:color="auto" w:sz="4" w:space="0"/>
              <w:bottom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1874" w:type="dxa"/>
            <w:gridSpan w:val="3"/>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p>
        </w:tc>
        <w:tc>
          <w:tcPr>
            <w:tcW w:w="60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否</w:t>
            </w:r>
            <w:r>
              <w:rPr>
                <w:rFonts w:asciiTheme="minorEastAsia" w:hAnsiTheme="minorEastAsia" w:eastAsiaTheme="minorEastAsia"/>
                <w:color w:val="auto"/>
                <w:spacing w:val="-12"/>
                <w:kern w:val="0"/>
                <w:sz w:val="18"/>
                <w:szCs w:val="18"/>
              </w:rPr>
              <w:t>□</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2.建筑</w:t>
            </w:r>
          </w:p>
          <w:p>
            <w:pPr>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情况</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1.建筑高度(m)</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2.地上建筑层数</w:t>
            </w:r>
          </w:p>
        </w:tc>
        <w:tc>
          <w:tcPr>
            <w:tcW w:w="1055"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20"/>
                <w:kern w:val="0"/>
                <w:sz w:val="18"/>
                <w:szCs w:val="18"/>
              </w:rPr>
            </w:pPr>
          </w:p>
        </w:tc>
        <w:tc>
          <w:tcPr>
            <w:tcW w:w="1322"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3.地下建筑层数</w:t>
            </w:r>
          </w:p>
        </w:tc>
        <w:tc>
          <w:tcPr>
            <w:tcW w:w="4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ind w:right="-160" w:rightChars="-50"/>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left"/>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4.公共建筑（与工业建筑选填一个）</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ind w:firstLine="140" w:firstLineChars="100"/>
              <w:jc w:val="center"/>
              <w:rPr>
                <w:rFonts w:asciiTheme="minorEastAsia" w:hAnsiTheme="minorEastAsia" w:eastAsiaTheme="minorEastAsia"/>
                <w:color w:val="auto"/>
                <w:spacing w:val="-20"/>
                <w:kern w:val="0"/>
                <w:sz w:val="18"/>
                <w:szCs w:val="18"/>
              </w:rPr>
            </w:pPr>
            <w:r>
              <w:rPr>
                <w:rFonts w:asciiTheme="minorEastAsia" w:hAnsiTheme="minorEastAsia" w:eastAsiaTheme="minorEastAsia"/>
                <w:color w:val="auto"/>
                <w:spacing w:val="-20"/>
                <w:kern w:val="0"/>
                <w:sz w:val="18"/>
                <w:szCs w:val="18"/>
              </w:rPr>
              <w:t>一类□     二类□</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5.工业建筑（与公共建筑选填一个）</w:t>
            </w:r>
          </w:p>
        </w:tc>
        <w:tc>
          <w:tcPr>
            <w:tcW w:w="1055"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 xml:space="preserve">是□ </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否□</w:t>
            </w:r>
          </w:p>
        </w:tc>
        <w:tc>
          <w:tcPr>
            <w:tcW w:w="1322"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6.建成年代（1800-2022）</w:t>
            </w:r>
          </w:p>
        </w:tc>
        <w:tc>
          <w:tcPr>
            <w:tcW w:w="4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3.建筑规划用途（附注释说明）</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1.住宅</w:t>
            </w:r>
          </w:p>
        </w:tc>
        <w:tc>
          <w:tcPr>
            <w:tcW w:w="444"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2.商业（</w:t>
            </w:r>
            <w:r>
              <w:rPr>
                <w:rFonts w:hint="eastAsia" w:asciiTheme="minorEastAsia" w:hAnsiTheme="minorEastAsia" w:eastAsiaTheme="minorEastAsia"/>
                <w:color w:val="auto"/>
                <w:kern w:val="0"/>
                <w:sz w:val="18"/>
                <w:szCs w:val="18"/>
              </w:rPr>
              <w:t>经营</w:t>
            </w:r>
            <w:r>
              <w:rPr>
                <w:rFonts w:asciiTheme="minorEastAsia" w:hAnsiTheme="minorEastAsia" w:eastAsiaTheme="minorEastAsia"/>
                <w:color w:val="auto"/>
                <w:kern w:val="0"/>
                <w:sz w:val="18"/>
                <w:szCs w:val="18"/>
              </w:rPr>
              <w:t>）</w:t>
            </w:r>
          </w:p>
        </w:tc>
        <w:tc>
          <w:tcPr>
            <w:tcW w:w="37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00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3.工业</w:t>
            </w:r>
          </w:p>
        </w:tc>
        <w:tc>
          <w:tcPr>
            <w:tcW w:w="29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902"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4.仓储</w:t>
            </w:r>
          </w:p>
        </w:tc>
        <w:tc>
          <w:tcPr>
            <w:tcW w:w="33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4"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5.市政设施</w:t>
            </w:r>
          </w:p>
        </w:tc>
        <w:tc>
          <w:tcPr>
            <w:tcW w:w="38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973"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6.办公</w:t>
            </w:r>
          </w:p>
        </w:tc>
        <w:tc>
          <w:tcPr>
            <w:tcW w:w="428"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91"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7.教育</w:t>
            </w:r>
          </w:p>
        </w:tc>
        <w:tc>
          <w:tcPr>
            <w:tcW w:w="832"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8.医疗卫生</w:t>
            </w:r>
          </w:p>
        </w:tc>
        <w:tc>
          <w:tcPr>
            <w:tcW w:w="444"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9.交通设施</w:t>
            </w:r>
          </w:p>
        </w:tc>
        <w:tc>
          <w:tcPr>
            <w:tcW w:w="37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00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10.其他</w:t>
            </w:r>
          </w:p>
        </w:tc>
        <w:tc>
          <w:tcPr>
            <w:tcW w:w="1532"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□___________</w:t>
            </w:r>
          </w:p>
        </w:tc>
        <w:tc>
          <w:tcPr>
            <w:tcW w:w="4190" w:type="dxa"/>
            <w:gridSpan w:val="1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注：</w:t>
            </w:r>
            <w:r>
              <w:rPr>
                <w:rFonts w:asciiTheme="minorEastAsia" w:hAnsiTheme="minorEastAsia" w:eastAsiaTheme="minorEastAsia"/>
                <w:color w:val="auto"/>
                <w:kern w:val="0"/>
                <w:sz w:val="18"/>
                <w:szCs w:val="18"/>
              </w:rPr>
              <w:t>有关类别的注释说明请对照填表说明（五）</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4.建筑实际功能用途</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1.居住（住宅）</w:t>
            </w:r>
          </w:p>
        </w:tc>
        <w:tc>
          <w:tcPr>
            <w:tcW w:w="444"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2.商场</w:t>
            </w:r>
          </w:p>
        </w:tc>
        <w:tc>
          <w:tcPr>
            <w:tcW w:w="37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00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3.宾馆、旅馆（含规模租赁、住宿）</w:t>
            </w:r>
          </w:p>
        </w:tc>
        <w:tc>
          <w:tcPr>
            <w:tcW w:w="29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902"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4.餐饮</w:t>
            </w:r>
          </w:p>
        </w:tc>
        <w:tc>
          <w:tcPr>
            <w:tcW w:w="33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4"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5.娱乐</w:t>
            </w:r>
          </w:p>
        </w:tc>
        <w:tc>
          <w:tcPr>
            <w:tcW w:w="38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973"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6.学校（含教育培训）</w:t>
            </w:r>
          </w:p>
        </w:tc>
        <w:tc>
          <w:tcPr>
            <w:tcW w:w="428"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91"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7.医院（含医疗、美容）</w:t>
            </w:r>
          </w:p>
        </w:tc>
        <w:tc>
          <w:tcPr>
            <w:tcW w:w="832"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8.养老</w:t>
            </w:r>
          </w:p>
        </w:tc>
        <w:tc>
          <w:tcPr>
            <w:tcW w:w="444"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9.科研</w:t>
            </w:r>
          </w:p>
        </w:tc>
        <w:tc>
          <w:tcPr>
            <w:tcW w:w="37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00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10.办公</w:t>
            </w:r>
          </w:p>
        </w:tc>
        <w:tc>
          <w:tcPr>
            <w:tcW w:w="29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902"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11.厂房</w:t>
            </w:r>
          </w:p>
        </w:tc>
        <w:tc>
          <w:tcPr>
            <w:tcW w:w="33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4"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12.仓库</w:t>
            </w:r>
          </w:p>
        </w:tc>
        <w:tc>
          <w:tcPr>
            <w:tcW w:w="38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973"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13.其他</w:t>
            </w:r>
          </w:p>
        </w:tc>
        <w:tc>
          <w:tcPr>
            <w:tcW w:w="2051" w:type="dxa"/>
            <w:gridSpan w:val="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14□</w:t>
            </w:r>
            <w:r>
              <w:rPr>
                <w:rFonts w:hint="eastAsia" w:asciiTheme="minorEastAsia" w:hAnsiTheme="minorEastAsia" w:eastAsiaTheme="minorEastAsia"/>
                <w:color w:val="auto"/>
                <w:kern w:val="0"/>
                <w:sz w:val="18"/>
                <w:szCs w:val="18"/>
              </w:rPr>
              <w:t>（文字描述）</w:t>
            </w:r>
            <w:r>
              <w:rPr>
                <w:rFonts w:asciiTheme="minorEastAsia" w:hAnsiTheme="minorEastAsia" w:eastAsiaTheme="minorEastAsia"/>
                <w:color w:val="auto"/>
                <w:kern w:val="0"/>
                <w:sz w:val="18"/>
                <w:szCs w:val="18"/>
              </w:rPr>
              <w:t>_</w:t>
            </w:r>
          </w:p>
        </w:tc>
      </w:tr>
      <w:tr>
        <w:tblPrEx>
          <w:tblLayout w:type="fixed"/>
          <w:tblCellMar>
            <w:top w:w="0" w:type="dxa"/>
            <w:left w:w="108" w:type="dxa"/>
            <w:bottom w:w="0" w:type="dxa"/>
            <w:right w:w="108" w:type="dxa"/>
          </w:tblCellMar>
        </w:tblPrEx>
        <w:trPr>
          <w:trHeight w:val="567" w:hRule="atLeast"/>
          <w:jc w:val="center"/>
        </w:trPr>
        <w:tc>
          <w:tcPr>
            <w:tcW w:w="843" w:type="dxa"/>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5.地下空间公网信号</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1.移动</w:t>
            </w:r>
          </w:p>
        </w:tc>
        <w:tc>
          <w:tcPr>
            <w:tcW w:w="444"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78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2.联通</w:t>
            </w:r>
          </w:p>
        </w:tc>
        <w:tc>
          <w:tcPr>
            <w:tcW w:w="37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1000"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3.电信</w:t>
            </w:r>
          </w:p>
        </w:tc>
        <w:tc>
          <w:tcPr>
            <w:tcW w:w="29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p>
        </w:tc>
        <w:tc>
          <w:tcPr>
            <w:tcW w:w="5425" w:type="dxa"/>
            <w:gridSpan w:val="19"/>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注释：建筑地下空间部分是否布设移动、联通或者电信公司的室内信号覆盖系统（手机是否有移动、联通或者电信的信号），可多选。</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kern w:val="0"/>
                <w:sz w:val="18"/>
                <w:szCs w:val="18"/>
              </w:rPr>
              <w:t>6.</w:t>
            </w:r>
            <w:r>
              <w:rPr>
                <w:rFonts w:ascii="黑体" w:hAnsi="黑体" w:eastAsia="黑体"/>
                <w:color w:val="auto"/>
                <w:sz w:val="18"/>
                <w:szCs w:val="18"/>
              </w:rPr>
              <w:t>外墙装饰材料</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r>
              <w:rPr>
                <w:rFonts w:asciiTheme="minorEastAsia" w:hAnsiTheme="minorEastAsia" w:eastAsiaTheme="minorEastAsia"/>
                <w:color w:val="auto"/>
                <w:kern w:val="0"/>
                <w:sz w:val="18"/>
                <w:szCs w:val="18"/>
              </w:rPr>
              <w:t>1</w:t>
            </w:r>
            <w:r>
              <w:rPr>
                <w:rFonts w:hint="eastAsia" w:asciiTheme="minorEastAsia" w:hAnsiTheme="minorEastAsia" w:eastAsiaTheme="minorEastAsia"/>
                <w:color w:val="auto"/>
                <w:kern w:val="0"/>
                <w:sz w:val="18"/>
                <w:szCs w:val="18"/>
              </w:rPr>
              <w:t>.</w:t>
            </w:r>
            <w:r>
              <w:rPr>
                <w:rFonts w:asciiTheme="minorEastAsia" w:hAnsiTheme="minorEastAsia" w:eastAsiaTheme="minorEastAsia"/>
                <w:color w:val="auto"/>
                <w:kern w:val="0"/>
                <w:sz w:val="18"/>
                <w:szCs w:val="18"/>
              </w:rPr>
              <w:t>玻璃幕墙类□</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w:t>
            </w:r>
            <w:r>
              <w:rPr>
                <w:rFonts w:hint="eastAsia" w:asciiTheme="minorEastAsia" w:hAnsiTheme="minorEastAsia" w:eastAsiaTheme="minorEastAsia"/>
                <w:color w:val="auto"/>
                <w:kern w:val="0"/>
                <w:sz w:val="18"/>
                <w:szCs w:val="18"/>
              </w:rPr>
              <w:t>.</w:t>
            </w:r>
            <w:r>
              <w:rPr>
                <w:rFonts w:asciiTheme="minorEastAsia" w:hAnsiTheme="minorEastAsia" w:eastAsiaTheme="minorEastAsia"/>
                <w:color w:val="auto"/>
                <w:kern w:val="0"/>
                <w:sz w:val="18"/>
                <w:szCs w:val="18"/>
              </w:rPr>
              <w:t>铝扣板（铝塑）类□</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sz w:val="18"/>
                <w:szCs w:val="18"/>
              </w:rPr>
              <w:t>3</w:t>
            </w:r>
            <w:r>
              <w:rPr>
                <w:rFonts w:hint="eastAsia" w:asciiTheme="minorEastAsia" w:hAnsiTheme="minorEastAsia" w:eastAsiaTheme="minorEastAsia"/>
                <w:color w:val="auto"/>
                <w:sz w:val="18"/>
                <w:szCs w:val="18"/>
              </w:rPr>
              <w:t>.</w:t>
            </w:r>
            <w:r>
              <w:rPr>
                <w:rFonts w:asciiTheme="minorEastAsia" w:hAnsiTheme="minorEastAsia" w:eastAsiaTheme="minorEastAsia"/>
                <w:color w:val="auto"/>
                <w:sz w:val="18"/>
                <w:szCs w:val="18"/>
              </w:rPr>
              <w:t>陶瓷类</w:t>
            </w:r>
            <w:r>
              <w:rPr>
                <w:rFonts w:asciiTheme="minorEastAsia" w:hAnsiTheme="minorEastAsia" w:eastAsiaTheme="minorEastAsia"/>
                <w:color w:val="auto"/>
                <w:kern w:val="0"/>
                <w:sz w:val="18"/>
                <w:szCs w:val="18"/>
              </w:rPr>
              <w:t>□</w:t>
            </w:r>
          </w:p>
        </w:tc>
        <w:tc>
          <w:tcPr>
            <w:tcW w:w="1055"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4</w:t>
            </w:r>
            <w:r>
              <w:rPr>
                <w:rFonts w:hint="eastAsia" w:asciiTheme="minorEastAsia" w:hAnsiTheme="minorEastAsia" w:eastAsiaTheme="minorEastAsia"/>
                <w:color w:val="auto"/>
                <w:kern w:val="0"/>
                <w:sz w:val="18"/>
                <w:szCs w:val="18"/>
              </w:rPr>
              <w:t>.</w:t>
            </w:r>
            <w:r>
              <w:rPr>
                <w:rFonts w:asciiTheme="minorEastAsia" w:hAnsiTheme="minorEastAsia" w:eastAsiaTheme="minorEastAsia"/>
                <w:color w:val="auto"/>
                <w:kern w:val="0"/>
                <w:sz w:val="18"/>
                <w:szCs w:val="18"/>
              </w:rPr>
              <w:t>石材类□</w:t>
            </w:r>
          </w:p>
        </w:tc>
        <w:tc>
          <w:tcPr>
            <w:tcW w:w="1800"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5</w:t>
            </w:r>
            <w:r>
              <w:rPr>
                <w:rFonts w:hint="eastAsia" w:asciiTheme="minorEastAsia" w:hAnsiTheme="minorEastAsia" w:eastAsiaTheme="minorEastAsia"/>
                <w:color w:val="auto"/>
                <w:kern w:val="0"/>
                <w:sz w:val="18"/>
                <w:szCs w:val="18"/>
              </w:rPr>
              <w:t>.</w:t>
            </w:r>
            <w:r>
              <w:rPr>
                <w:rFonts w:asciiTheme="minorEastAsia" w:hAnsiTheme="minorEastAsia" w:eastAsiaTheme="minorEastAsia"/>
                <w:color w:val="auto"/>
                <w:kern w:val="0"/>
                <w:sz w:val="18"/>
                <w:szCs w:val="18"/>
              </w:rPr>
              <w:t>外墙涂料类□</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6</w:t>
            </w:r>
            <w:r>
              <w:rPr>
                <w:rFonts w:hint="eastAsia" w:asciiTheme="minorEastAsia" w:hAnsiTheme="minorEastAsia" w:eastAsiaTheme="minorEastAsia"/>
                <w:color w:val="auto"/>
                <w:kern w:val="0"/>
                <w:sz w:val="18"/>
                <w:szCs w:val="18"/>
              </w:rPr>
              <w:t>.</w:t>
            </w:r>
            <w:r>
              <w:rPr>
                <w:rFonts w:asciiTheme="minorEastAsia" w:hAnsiTheme="minorEastAsia" w:eastAsiaTheme="minorEastAsia"/>
                <w:color w:val="auto"/>
                <w:kern w:val="0"/>
                <w:sz w:val="18"/>
                <w:szCs w:val="18"/>
              </w:rPr>
              <w:t>其他</w:t>
            </w:r>
          </w:p>
        </w:tc>
        <w:tc>
          <w:tcPr>
            <w:tcW w:w="6722" w:type="dxa"/>
            <w:gridSpan w:val="2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w:t>
            </w:r>
            <w:r>
              <w:rPr>
                <w:rFonts w:hint="eastAsia" w:asciiTheme="minorEastAsia" w:hAnsiTheme="minorEastAsia" w:eastAsiaTheme="minorEastAsia"/>
                <w:color w:val="auto"/>
                <w:kern w:val="0"/>
                <w:sz w:val="18"/>
                <w:szCs w:val="18"/>
              </w:rPr>
              <w:t>（文字描述）</w:t>
            </w:r>
            <w:r>
              <w:rPr>
                <w:rFonts w:asciiTheme="minorEastAsia" w:hAnsiTheme="minorEastAsia" w:eastAsiaTheme="minorEastAsia"/>
                <w:color w:val="auto"/>
                <w:kern w:val="0"/>
                <w:sz w:val="18"/>
                <w:szCs w:val="18"/>
              </w:rPr>
              <w:t>_</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sz w:val="18"/>
                <w:szCs w:val="18"/>
              </w:rPr>
              <w:t>7.外保温材料</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1.是否有外保温材料</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2.是否</w:t>
            </w:r>
            <w:r>
              <w:rPr>
                <w:rFonts w:asciiTheme="minorEastAsia" w:hAnsiTheme="minorEastAsia" w:eastAsiaTheme="minorEastAsia"/>
                <w:color w:val="auto"/>
                <w:sz w:val="18"/>
                <w:szCs w:val="18"/>
              </w:rPr>
              <w:t>违规采用易燃可燃外保温材料</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3.外墙外保温防护层是否破损开裂、脱落</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4</w:t>
            </w:r>
            <w:r>
              <w:rPr>
                <w:rFonts w:asciiTheme="minorEastAsia" w:hAnsiTheme="minorEastAsia" w:eastAsiaTheme="minorEastAsia"/>
                <w:color w:val="auto"/>
                <w:kern w:val="0"/>
                <w:sz w:val="18"/>
                <w:szCs w:val="18"/>
              </w:rPr>
              <w:t>.对</w:t>
            </w:r>
            <w:r>
              <w:rPr>
                <w:rFonts w:hint="eastAsia" w:asciiTheme="minorEastAsia" w:hAnsiTheme="minorEastAsia" w:eastAsiaTheme="minorEastAsia"/>
                <w:color w:val="auto"/>
                <w:kern w:val="0"/>
                <w:sz w:val="18"/>
                <w:szCs w:val="18"/>
              </w:rPr>
              <w:t>易燃可燃</w:t>
            </w:r>
            <w:r>
              <w:rPr>
                <w:rFonts w:asciiTheme="minorEastAsia" w:hAnsiTheme="minorEastAsia" w:eastAsiaTheme="minorEastAsia"/>
                <w:color w:val="auto"/>
                <w:kern w:val="0"/>
                <w:sz w:val="18"/>
                <w:szCs w:val="18"/>
              </w:rPr>
              <w:t>外保温材料设置警示标示</w:t>
            </w:r>
            <w:r>
              <w:rPr>
                <w:rFonts w:hint="eastAsia" w:asciiTheme="minorEastAsia" w:hAnsiTheme="minorEastAsia" w:eastAsiaTheme="minorEastAsia"/>
                <w:color w:val="auto"/>
                <w:kern w:val="0"/>
                <w:sz w:val="18"/>
                <w:szCs w:val="18"/>
              </w:rPr>
              <w:t>的情况</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未设置</w:t>
            </w:r>
            <w:r>
              <w:rPr>
                <w:rFonts w:asciiTheme="minorEastAsia" w:hAnsiTheme="minorEastAsia" w:eastAsiaTheme="minorEastAsia"/>
                <w:color w:val="auto"/>
                <w:kern w:val="0"/>
                <w:sz w:val="18"/>
                <w:szCs w:val="18"/>
              </w:rPr>
              <w:t xml:space="preserve">□  </w:t>
            </w:r>
            <w:r>
              <w:rPr>
                <w:rFonts w:hint="eastAsia" w:asciiTheme="minorEastAsia" w:hAnsiTheme="minorEastAsia" w:eastAsiaTheme="minorEastAsia"/>
                <w:color w:val="auto"/>
                <w:kern w:val="0"/>
                <w:sz w:val="18"/>
                <w:szCs w:val="18"/>
              </w:rPr>
              <w:t>已设置</w:t>
            </w:r>
            <w:r>
              <w:rPr>
                <w:rFonts w:asciiTheme="minorEastAsia" w:hAnsiTheme="minorEastAsia" w:eastAsiaTheme="minorEastAsia"/>
                <w:color w:val="auto"/>
                <w:kern w:val="0"/>
                <w:sz w:val="18"/>
                <w:szCs w:val="18"/>
              </w:rPr>
              <w:t>□</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5</w:t>
            </w:r>
            <w:r>
              <w:rPr>
                <w:rFonts w:asciiTheme="minorEastAsia" w:hAnsiTheme="minorEastAsia" w:eastAsiaTheme="minorEastAsia"/>
                <w:color w:val="auto"/>
                <w:kern w:val="0"/>
                <w:sz w:val="18"/>
                <w:szCs w:val="18"/>
              </w:rPr>
              <w:t>.</w:t>
            </w:r>
            <w:r>
              <w:rPr>
                <w:rFonts w:hint="eastAsia" w:asciiTheme="minorEastAsia" w:hAnsiTheme="minorEastAsia" w:eastAsiaTheme="minorEastAsia"/>
                <w:color w:val="auto"/>
                <w:kern w:val="0"/>
                <w:sz w:val="18"/>
                <w:szCs w:val="18"/>
              </w:rPr>
              <w:t>更换易燃可燃</w:t>
            </w:r>
            <w:r>
              <w:rPr>
                <w:rFonts w:asciiTheme="minorEastAsia" w:hAnsiTheme="minorEastAsia" w:eastAsiaTheme="minorEastAsia"/>
                <w:color w:val="auto"/>
                <w:kern w:val="0"/>
                <w:sz w:val="18"/>
                <w:szCs w:val="18"/>
              </w:rPr>
              <w:t>外保温材料</w:t>
            </w:r>
            <w:r>
              <w:rPr>
                <w:rFonts w:hint="eastAsia" w:asciiTheme="minorEastAsia" w:hAnsiTheme="minorEastAsia" w:eastAsiaTheme="minorEastAsia"/>
                <w:color w:val="auto"/>
                <w:kern w:val="0"/>
                <w:sz w:val="18"/>
                <w:szCs w:val="18"/>
              </w:rPr>
              <w:t>的情况</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未更换</w:t>
            </w:r>
            <w:r>
              <w:rPr>
                <w:rFonts w:asciiTheme="minorEastAsia" w:hAnsiTheme="minorEastAsia" w:eastAsiaTheme="minorEastAsia"/>
                <w:color w:val="auto"/>
                <w:kern w:val="0"/>
                <w:sz w:val="18"/>
                <w:szCs w:val="18"/>
              </w:rPr>
              <w:t xml:space="preserve">□ </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已更换</w:t>
            </w:r>
            <w:r>
              <w:rPr>
                <w:rFonts w:asciiTheme="minorEastAsia" w:hAnsiTheme="minorEastAsia" w:eastAsiaTheme="minorEastAsia"/>
                <w:color w:val="auto"/>
                <w:kern w:val="0"/>
                <w:sz w:val="18"/>
                <w:szCs w:val="18"/>
              </w:rPr>
              <w:t>□</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无需</w:t>
            </w:r>
            <w:r>
              <w:rPr>
                <w:rFonts w:hint="eastAsia" w:asciiTheme="minorEastAsia" w:hAnsiTheme="minorEastAsia" w:eastAsiaTheme="minorEastAsia"/>
                <w:color w:val="auto"/>
                <w:kern w:val="0"/>
                <w:sz w:val="18"/>
                <w:szCs w:val="18"/>
              </w:rPr>
              <w:t>更换</w:t>
            </w:r>
            <w:r>
              <w:rPr>
                <w:rFonts w:asciiTheme="minorEastAsia" w:hAnsiTheme="minorEastAsia" w:eastAsiaTheme="minorEastAsia"/>
                <w:color w:val="auto"/>
                <w:kern w:val="0"/>
                <w:sz w:val="18"/>
                <w:szCs w:val="18"/>
              </w:rPr>
              <w:t>□</w:t>
            </w:r>
          </w:p>
        </w:tc>
      </w:tr>
      <w:tr>
        <w:tblPrEx>
          <w:tblLayout w:type="fixed"/>
          <w:tblCellMar>
            <w:top w:w="0" w:type="dxa"/>
            <w:left w:w="108" w:type="dxa"/>
            <w:bottom w:w="0" w:type="dxa"/>
            <w:right w:w="108" w:type="dxa"/>
          </w:tblCellMar>
        </w:tblPrEx>
        <w:trPr>
          <w:trHeight w:val="39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sz w:val="18"/>
                <w:szCs w:val="18"/>
              </w:rPr>
              <w:t>8.消防设施</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1火灾自动报警系统状态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故障较多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 □</w:t>
            </w:r>
          </w:p>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pacing w:val="-8"/>
                <w:sz w:val="18"/>
                <w:szCs w:val="18"/>
              </w:rPr>
              <w:t>无此系统 □</w:t>
            </w:r>
          </w:p>
        </w:tc>
        <w:tc>
          <w:tcPr>
            <w:tcW w:w="1260" w:type="dxa"/>
            <w:gridSpan w:val="6"/>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是否完成整改</w:t>
            </w: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2.室内消火栓系统状态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故障较多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w:t>
            </w:r>
            <w:r>
              <w:rPr>
                <w:rFonts w:hint="eastAsia" w:asciiTheme="minorEastAsia" w:hAnsiTheme="minorEastAsia" w:eastAsiaTheme="minorEastAsia"/>
                <w:color w:val="auto"/>
                <w:spacing w:val="-8"/>
                <w:sz w:val="18"/>
                <w:szCs w:val="18"/>
              </w:rPr>
              <w:t xml:space="preserve"> </w:t>
            </w:r>
            <w:r>
              <w:rPr>
                <w:rFonts w:asciiTheme="minorEastAsia" w:hAnsiTheme="minorEastAsia" w:eastAsiaTheme="minorEastAsia"/>
                <w:color w:val="auto"/>
                <w:spacing w:val="-8"/>
                <w:sz w:val="18"/>
                <w:szCs w:val="18"/>
              </w:rPr>
              <w:t>□</w:t>
            </w:r>
          </w:p>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无此系统 □</w:t>
            </w:r>
          </w:p>
        </w:tc>
        <w:tc>
          <w:tcPr>
            <w:tcW w:w="1260" w:type="dxa"/>
            <w:gridSpan w:val="6"/>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3.室外消火栓系统状态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故障较多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w:t>
            </w:r>
          </w:p>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无此系统 □</w:t>
            </w:r>
          </w:p>
        </w:tc>
        <w:tc>
          <w:tcPr>
            <w:tcW w:w="1260" w:type="dxa"/>
            <w:gridSpan w:val="6"/>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4.自动喷淋系统状态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w:t>
            </w:r>
            <w:r>
              <w:rPr>
                <w:rFonts w:hint="eastAsia" w:asciiTheme="minorEastAsia" w:hAnsiTheme="minorEastAsia" w:eastAsiaTheme="minorEastAsia"/>
                <w:color w:val="auto"/>
                <w:spacing w:val="-8"/>
                <w:sz w:val="18"/>
                <w:szCs w:val="18"/>
              </w:rPr>
              <w:t xml:space="preserve">  </w:t>
            </w:r>
            <w:r>
              <w:rPr>
                <w:rFonts w:asciiTheme="minorEastAsia" w:hAnsiTheme="minorEastAsia" w:eastAsiaTheme="minorEastAsia"/>
                <w:color w:val="auto"/>
                <w:spacing w:val="-8"/>
                <w:sz w:val="18"/>
                <w:szCs w:val="18"/>
              </w:rPr>
              <w:t>无此系统 □</w:t>
            </w:r>
          </w:p>
        </w:tc>
        <w:tc>
          <w:tcPr>
            <w:tcW w:w="1260" w:type="dxa"/>
            <w:gridSpan w:val="6"/>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5.机械排烟系统状态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w:t>
            </w:r>
            <w:r>
              <w:rPr>
                <w:rFonts w:hint="eastAsia" w:asciiTheme="minorEastAsia" w:hAnsiTheme="minorEastAsia" w:eastAsiaTheme="minorEastAsia"/>
                <w:color w:val="auto"/>
                <w:spacing w:val="-8"/>
                <w:sz w:val="18"/>
                <w:szCs w:val="18"/>
              </w:rPr>
              <w:t xml:space="preserve">  </w:t>
            </w:r>
            <w:r>
              <w:rPr>
                <w:rFonts w:asciiTheme="minorEastAsia" w:hAnsiTheme="minorEastAsia" w:eastAsiaTheme="minorEastAsia"/>
                <w:color w:val="auto"/>
                <w:spacing w:val="-8"/>
                <w:sz w:val="18"/>
                <w:szCs w:val="18"/>
              </w:rPr>
              <w:t>无此系统 □</w:t>
            </w:r>
          </w:p>
        </w:tc>
        <w:tc>
          <w:tcPr>
            <w:tcW w:w="1260" w:type="dxa"/>
            <w:gridSpan w:val="6"/>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6.防火卷帘装置状态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故障较多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w:t>
            </w:r>
          </w:p>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pacing w:val="-8"/>
                <w:sz w:val="18"/>
                <w:szCs w:val="18"/>
              </w:rPr>
              <w:t>无此系统 □</w:t>
            </w:r>
          </w:p>
        </w:tc>
        <w:tc>
          <w:tcPr>
            <w:tcW w:w="1260" w:type="dxa"/>
            <w:gridSpan w:val="6"/>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bottom w:val="nil"/>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7.分区消防供水设施状态</w:t>
            </w:r>
          </w:p>
        </w:tc>
        <w:tc>
          <w:tcPr>
            <w:tcW w:w="3867" w:type="dxa"/>
            <w:gridSpan w:val="1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r>
              <w:rPr>
                <w:rFonts w:asciiTheme="minorEastAsia" w:hAnsiTheme="minorEastAsia" w:eastAsiaTheme="minorEastAsia"/>
                <w:color w:val="auto"/>
                <w:spacing w:val="-8"/>
                <w:sz w:val="18"/>
                <w:szCs w:val="18"/>
              </w:rPr>
              <w:t xml:space="preserve">基本完好 □  </w:t>
            </w:r>
            <w:r>
              <w:rPr>
                <w:rFonts w:hint="eastAsia" w:asciiTheme="minorEastAsia" w:hAnsiTheme="minorEastAsia" w:eastAsiaTheme="minorEastAsia"/>
                <w:color w:val="auto"/>
                <w:spacing w:val="-8"/>
                <w:sz w:val="18"/>
                <w:szCs w:val="18"/>
              </w:rPr>
              <w:t>停用或</w:t>
            </w:r>
            <w:r>
              <w:rPr>
                <w:rFonts w:asciiTheme="minorEastAsia" w:hAnsiTheme="minorEastAsia" w:eastAsiaTheme="minorEastAsia"/>
                <w:color w:val="auto"/>
                <w:spacing w:val="-8"/>
                <w:sz w:val="18"/>
                <w:szCs w:val="18"/>
              </w:rPr>
              <w:t>瘫痪□</w:t>
            </w:r>
            <w:r>
              <w:rPr>
                <w:rFonts w:hint="eastAsia" w:asciiTheme="minorEastAsia" w:hAnsiTheme="minorEastAsia" w:eastAsiaTheme="minorEastAsia"/>
                <w:color w:val="auto"/>
                <w:spacing w:val="-8"/>
                <w:sz w:val="18"/>
                <w:szCs w:val="18"/>
              </w:rPr>
              <w:t xml:space="preserve">  </w:t>
            </w:r>
            <w:r>
              <w:rPr>
                <w:rFonts w:asciiTheme="minorEastAsia" w:hAnsiTheme="minorEastAsia" w:eastAsiaTheme="minorEastAsia"/>
                <w:color w:val="auto"/>
                <w:spacing w:val="-8"/>
                <w:sz w:val="18"/>
                <w:szCs w:val="18"/>
              </w:rPr>
              <w:t>无此系统 □</w:t>
            </w:r>
          </w:p>
        </w:tc>
        <w:tc>
          <w:tcPr>
            <w:tcW w:w="1260" w:type="dxa"/>
            <w:gridSpan w:val="6"/>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8"/>
                <w:sz w:val="18"/>
                <w:szCs w:val="18"/>
              </w:rPr>
            </w:pPr>
          </w:p>
        </w:tc>
        <w:tc>
          <w:tcPr>
            <w:tcW w:w="1595" w:type="dxa"/>
            <w:gridSpan w:val="5"/>
            <w:tcBorders>
              <w:top w:val="single" w:color="auto" w:sz="4" w:space="0"/>
              <w:left w:val="single" w:color="auto" w:sz="4" w:space="0"/>
              <w:bottom w:val="single" w:color="auto" w:sz="4" w:space="0"/>
              <w:right w:val="single" w:color="auto" w:sz="4" w:space="0"/>
            </w:tcBorders>
            <w:shd w:val="clear" w:color="auto" w:fill="FFFFFF"/>
          </w:tcPr>
          <w:p>
            <w:pPr>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jc w:val="left"/>
              <w:rPr>
                <w:rFonts w:asciiTheme="minorEastAsia" w:hAnsiTheme="minorEastAsia" w:eastAsiaTheme="minorEastAsia"/>
                <w:color w:val="auto"/>
              </w:rPr>
            </w:pPr>
            <w:r>
              <w:rPr>
                <w:rFonts w:asciiTheme="minorEastAsia" w:hAnsiTheme="minorEastAsia" w:eastAsiaTheme="minorEastAsia"/>
                <w:color w:val="auto"/>
                <w:kern w:val="0"/>
                <w:sz w:val="18"/>
                <w:szCs w:val="18"/>
              </w:rPr>
              <w:t>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sz w:val="18"/>
                <w:szCs w:val="18"/>
              </w:rPr>
              <w:t>9.安全疏散</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z w:val="18"/>
                <w:szCs w:val="18"/>
              </w:rPr>
              <w:t>1.擅自改变或破坏楼梯间形式</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r>
              <w:rPr>
                <w:rFonts w:asciiTheme="minorEastAsia" w:hAnsiTheme="minorEastAsia" w:eastAsiaTheme="minorEastAsia"/>
                <w:color w:val="auto"/>
                <w:kern w:val="0"/>
                <w:sz w:val="18"/>
                <w:szCs w:val="18"/>
              </w:rPr>
              <w:t>是□ 否□</w:t>
            </w:r>
          </w:p>
        </w:tc>
        <w:tc>
          <w:tcPr>
            <w:tcW w:w="2062" w:type="dxa"/>
            <w:gridSpan w:val="7"/>
            <w:vMerge w:val="restart"/>
            <w:tcBorders>
              <w:top w:val="single" w:color="auto" w:sz="4" w:space="0"/>
              <w:left w:val="single" w:color="auto" w:sz="4" w:space="0"/>
              <w:right w:val="single" w:color="auto" w:sz="4" w:space="0"/>
            </w:tcBorders>
            <w:shd w:val="clear" w:color="auto" w:fill="FFFFFF"/>
            <w:vAlign w:val="center"/>
          </w:tcPr>
          <w:p>
            <w:pPr>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z w:val="18"/>
                <w:szCs w:val="18"/>
              </w:rPr>
              <w:t>2.疏散走道、楼梯间内部违规使用可燃装修材料</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Theme="minorEastAsia" w:hAnsiTheme="minorEastAsia" w:eastAsiaTheme="minorEastAsia"/>
                <w:color w:val="auto"/>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3.建筑外墙门窗违规设置影响逃生和灭火救援的障碍物</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Theme="minorEastAsia" w:hAnsiTheme="minorEastAsia" w:eastAsiaTheme="minorEastAsia"/>
                <w:color w:val="auto"/>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4.避难区内穿越通风风管、排烟风管、电缆桥架时采用可燃材料包覆管道</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Theme="minorEastAsia" w:hAnsiTheme="minorEastAsia" w:eastAsiaTheme="minorEastAsia"/>
                <w:color w:val="auto"/>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5.疏散通道、安全出口存在占用、堵塞、封闭现象</w:t>
            </w:r>
          </w:p>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（备注:主要指改建、内装修时采取砌墙、设门上锁等情况，非堆物等动态隐患）</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snapToGrid w:val="0"/>
              <w:spacing w:line="220" w:lineRule="exact"/>
              <w:jc w:val="center"/>
              <w:rPr>
                <w:rFonts w:asciiTheme="minorEastAsia" w:hAnsiTheme="minorEastAsia" w:eastAsiaTheme="minorEastAsia"/>
                <w:color w:val="auto"/>
                <w:spacing w:val="-12"/>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6.占用避难层（间）或擅自改变避难层（间）用途</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无避难层□</w:t>
            </w:r>
          </w:p>
        </w:tc>
        <w:tc>
          <w:tcPr>
            <w:tcW w:w="2062" w:type="dxa"/>
            <w:gridSpan w:val="7"/>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 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sz w:val="18"/>
                <w:szCs w:val="18"/>
              </w:rPr>
              <w:t>10.管道井</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6"/>
                <w:kern w:val="0"/>
                <w:sz w:val="18"/>
                <w:szCs w:val="18"/>
              </w:rPr>
              <w:t>1.电缆井、管道井</w:t>
            </w:r>
            <w:r>
              <w:rPr>
                <w:rFonts w:hint="eastAsia" w:asciiTheme="minorEastAsia" w:hAnsiTheme="minorEastAsia" w:eastAsiaTheme="minorEastAsia"/>
                <w:color w:val="auto"/>
                <w:spacing w:val="-6"/>
                <w:kern w:val="0"/>
                <w:sz w:val="18"/>
                <w:szCs w:val="18"/>
              </w:rPr>
              <w:t>未</w:t>
            </w:r>
            <w:r>
              <w:rPr>
                <w:rFonts w:asciiTheme="minorEastAsia" w:hAnsiTheme="minorEastAsia" w:eastAsiaTheme="minorEastAsia"/>
                <w:color w:val="auto"/>
                <w:spacing w:val="-6"/>
                <w:kern w:val="0"/>
                <w:sz w:val="18"/>
                <w:szCs w:val="18"/>
              </w:rPr>
              <w:t>在每层楼板处进行严密封堵</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12"/>
                <w:sz w:val="18"/>
                <w:szCs w:val="18"/>
              </w:rPr>
            </w:pPr>
            <w:r>
              <w:rPr>
                <w:rFonts w:asciiTheme="minorEastAsia" w:hAnsiTheme="minorEastAsia" w:eastAsiaTheme="minorEastAsia"/>
                <w:color w:val="auto"/>
                <w:spacing w:val="-12"/>
                <w:kern w:val="0"/>
                <w:sz w:val="18"/>
                <w:szCs w:val="18"/>
              </w:rPr>
              <w:t>是□  否□</w:t>
            </w:r>
          </w:p>
        </w:tc>
        <w:tc>
          <w:tcPr>
            <w:tcW w:w="2062" w:type="dxa"/>
            <w:gridSpan w:val="7"/>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12"/>
                <w:sz w:val="18"/>
                <w:szCs w:val="18"/>
              </w:rPr>
            </w:pPr>
            <w:r>
              <w:rPr>
                <w:rFonts w:asciiTheme="minorEastAsia" w:hAnsiTheme="minorEastAsia" w:eastAsiaTheme="minorEastAsia"/>
                <w:color w:val="auto"/>
                <w:kern w:val="0"/>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 xml:space="preserve">是□ 否□ </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spacing w:val="-6"/>
                <w:kern w:val="0"/>
                <w:sz w:val="18"/>
                <w:szCs w:val="18"/>
              </w:rPr>
              <w:t>2.电缆桥架等未在防火分隔处采用有效措施进行防火封堵</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6"/>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spacing w:val="-6"/>
                <w:kern w:val="0"/>
                <w:sz w:val="18"/>
                <w:szCs w:val="18"/>
              </w:rPr>
              <w:t>3.电缆井内电气线路敷设</w:t>
            </w:r>
            <w:r>
              <w:rPr>
                <w:rFonts w:hint="eastAsia" w:asciiTheme="minorEastAsia" w:hAnsiTheme="minorEastAsia" w:eastAsiaTheme="minorEastAsia"/>
                <w:color w:val="auto"/>
                <w:spacing w:val="-6"/>
                <w:kern w:val="0"/>
                <w:sz w:val="18"/>
                <w:szCs w:val="18"/>
              </w:rPr>
              <w:t>不</w:t>
            </w:r>
            <w:r>
              <w:rPr>
                <w:rFonts w:asciiTheme="minorEastAsia" w:hAnsiTheme="minorEastAsia" w:eastAsiaTheme="minorEastAsia"/>
                <w:color w:val="auto"/>
                <w:spacing w:val="-6"/>
                <w:kern w:val="0"/>
                <w:sz w:val="18"/>
                <w:szCs w:val="18"/>
              </w:rPr>
              <w:t>规范</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是□  否□</w:t>
            </w:r>
          </w:p>
        </w:tc>
        <w:tc>
          <w:tcPr>
            <w:tcW w:w="2062" w:type="dxa"/>
            <w:gridSpan w:val="7"/>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6"/>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12"/>
                <w:kern w:val="0"/>
                <w:sz w:val="18"/>
                <w:szCs w:val="18"/>
              </w:rPr>
            </w:pPr>
            <w:r>
              <w:rPr>
                <w:rFonts w:asciiTheme="minorEastAsia" w:hAnsiTheme="minorEastAsia" w:eastAsiaTheme="minorEastAsia"/>
                <w:color w:val="auto"/>
                <w:spacing w:val="-12"/>
                <w:kern w:val="0"/>
                <w:sz w:val="18"/>
                <w:szCs w:val="18"/>
              </w:rPr>
              <w:t xml:space="preserve">是□ 否□ </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sz w:val="18"/>
                <w:szCs w:val="18"/>
              </w:rPr>
              <w:t>11.灭火救援设施</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spacing w:val="-6"/>
                <w:kern w:val="0"/>
                <w:sz w:val="18"/>
                <w:szCs w:val="18"/>
              </w:rPr>
              <w:t>1.灭火救援窗的设施</w:t>
            </w:r>
            <w:r>
              <w:rPr>
                <w:rFonts w:hint="eastAsia" w:asciiTheme="minorEastAsia" w:hAnsiTheme="minorEastAsia" w:eastAsiaTheme="minorEastAsia"/>
                <w:color w:val="auto"/>
                <w:spacing w:val="-6"/>
                <w:kern w:val="0"/>
                <w:sz w:val="18"/>
                <w:szCs w:val="18"/>
              </w:rPr>
              <w:t>不</w:t>
            </w:r>
            <w:r>
              <w:rPr>
                <w:rFonts w:asciiTheme="minorEastAsia" w:hAnsiTheme="minorEastAsia" w:eastAsiaTheme="minorEastAsia"/>
                <w:color w:val="auto"/>
                <w:spacing w:val="-6"/>
                <w:kern w:val="0"/>
                <w:sz w:val="18"/>
                <w:szCs w:val="18"/>
              </w:rPr>
              <w:t>符合要求</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widowControl/>
              <w:snapToGrid w:val="0"/>
              <w:spacing w:line="220" w:lineRule="exact"/>
              <w:jc w:val="center"/>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kern w:val="0"/>
                <w:sz w:val="18"/>
                <w:szCs w:val="18"/>
              </w:rPr>
              <w:t>无灭火救援窗□</w:t>
            </w:r>
          </w:p>
        </w:tc>
        <w:tc>
          <w:tcPr>
            <w:tcW w:w="2062" w:type="dxa"/>
            <w:gridSpan w:val="7"/>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 无需整改□</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pacing w:val="-6"/>
                <w:kern w:val="0"/>
                <w:sz w:val="18"/>
                <w:szCs w:val="18"/>
              </w:rPr>
              <w:t>2.消防车登高操作场地的设置</w:t>
            </w:r>
            <w:r>
              <w:rPr>
                <w:rFonts w:hint="eastAsia" w:asciiTheme="minorEastAsia" w:hAnsiTheme="minorEastAsia" w:eastAsiaTheme="minorEastAsia"/>
                <w:color w:val="auto"/>
                <w:spacing w:val="-6"/>
                <w:kern w:val="0"/>
                <w:sz w:val="18"/>
                <w:szCs w:val="18"/>
              </w:rPr>
              <w:t>不</w:t>
            </w:r>
            <w:r>
              <w:rPr>
                <w:rFonts w:asciiTheme="minorEastAsia" w:hAnsiTheme="minorEastAsia" w:eastAsiaTheme="minorEastAsia"/>
                <w:color w:val="auto"/>
                <w:spacing w:val="-6"/>
                <w:kern w:val="0"/>
                <w:sz w:val="18"/>
                <w:szCs w:val="18"/>
              </w:rPr>
              <w:t>符合要求</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pacing w:val="-6"/>
                <w:kern w:val="0"/>
                <w:sz w:val="18"/>
                <w:szCs w:val="18"/>
              </w:rPr>
              <w:t>3.消防车通道的设置</w:t>
            </w:r>
            <w:r>
              <w:rPr>
                <w:rFonts w:hint="eastAsia" w:asciiTheme="minorEastAsia" w:hAnsiTheme="minorEastAsia" w:eastAsiaTheme="minorEastAsia"/>
                <w:color w:val="auto"/>
                <w:spacing w:val="-6"/>
                <w:kern w:val="0"/>
                <w:sz w:val="18"/>
                <w:szCs w:val="18"/>
              </w:rPr>
              <w:t>不</w:t>
            </w:r>
            <w:r>
              <w:rPr>
                <w:rFonts w:asciiTheme="minorEastAsia" w:hAnsiTheme="minorEastAsia" w:eastAsiaTheme="minorEastAsia"/>
                <w:color w:val="auto"/>
                <w:spacing w:val="-6"/>
                <w:kern w:val="0"/>
                <w:sz w:val="18"/>
                <w:szCs w:val="18"/>
              </w:rPr>
              <w:t>符合要求</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kern w:val="0"/>
                <w:sz w:val="18"/>
                <w:szCs w:val="18"/>
              </w:rPr>
              <w:t>4.消防车通道和消防车登高操作场地是</w:t>
            </w:r>
            <w:r>
              <w:rPr>
                <w:rFonts w:hint="eastAsia" w:asciiTheme="minorEastAsia" w:hAnsiTheme="minorEastAsia" w:eastAsiaTheme="minorEastAsia"/>
                <w:color w:val="auto"/>
                <w:kern w:val="0"/>
                <w:sz w:val="18"/>
                <w:szCs w:val="18"/>
              </w:rPr>
              <w:t>被</w:t>
            </w:r>
            <w:r>
              <w:rPr>
                <w:rFonts w:asciiTheme="minorEastAsia" w:hAnsiTheme="minorEastAsia" w:eastAsiaTheme="minorEastAsia"/>
                <w:color w:val="auto"/>
                <w:kern w:val="0"/>
                <w:sz w:val="18"/>
                <w:szCs w:val="18"/>
              </w:rPr>
              <w:t>占用、堵塞、封闭现象</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pacing w:val="-6"/>
                <w:kern w:val="0"/>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pacing w:val="-6"/>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ascii="黑体" w:hAnsi="黑体" w:eastAsia="黑体"/>
                <w:color w:val="auto"/>
                <w:sz w:val="18"/>
                <w:szCs w:val="18"/>
              </w:rPr>
              <w:t>12.日常消防安全管理</w:t>
            </w:r>
          </w:p>
        </w:tc>
        <w:tc>
          <w:tcPr>
            <w:tcW w:w="1324"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hint="eastAsia" w:asciiTheme="minorEastAsia" w:hAnsiTheme="minorEastAsia" w:eastAsiaTheme="minorEastAsia"/>
                <w:color w:val="auto"/>
                <w:sz w:val="18"/>
                <w:szCs w:val="18"/>
              </w:rPr>
              <w:t>1</w:t>
            </w:r>
            <w:r>
              <w:rPr>
                <w:rFonts w:asciiTheme="minorEastAsia" w:hAnsiTheme="minorEastAsia" w:eastAsiaTheme="minorEastAsia"/>
                <w:color w:val="auto"/>
                <w:sz w:val="18"/>
                <w:szCs w:val="18"/>
              </w:rPr>
              <w:t>.</w:t>
            </w:r>
            <w:r>
              <w:rPr>
                <w:rFonts w:hint="eastAsia" w:asciiTheme="minorEastAsia" w:hAnsiTheme="minorEastAsia" w:eastAsiaTheme="minorEastAsia"/>
                <w:color w:val="auto"/>
                <w:sz w:val="18"/>
                <w:szCs w:val="18"/>
              </w:rPr>
              <w:t>未按标准要求建设专职消防队、微型消防站</w:t>
            </w:r>
          </w:p>
        </w:tc>
        <w:tc>
          <w:tcPr>
            <w:tcW w:w="1155"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2</w:t>
            </w:r>
            <w:r>
              <w:rPr>
                <w:rFonts w:asciiTheme="minorEastAsia" w:hAnsiTheme="minorEastAsia" w:eastAsiaTheme="minorEastAsia"/>
                <w:color w:val="auto"/>
                <w:sz w:val="18"/>
                <w:szCs w:val="18"/>
              </w:rPr>
              <w:t>.接入可视化运管平台</w:t>
            </w:r>
            <w:r>
              <w:rPr>
                <w:rFonts w:hint="eastAsia" w:asciiTheme="minorEastAsia" w:hAnsiTheme="minorEastAsia" w:eastAsiaTheme="minorEastAsia"/>
                <w:color w:val="auto"/>
                <w:sz w:val="18"/>
                <w:szCs w:val="18"/>
              </w:rPr>
              <w:t>的情况</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ind w:left="1" w:leftChars="-44" w:hanging="142" w:hangingChars="79"/>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未接入</w:t>
            </w:r>
            <w:r>
              <w:rPr>
                <w:rFonts w:asciiTheme="minorEastAsia" w:hAnsiTheme="minorEastAsia" w:eastAsiaTheme="minorEastAsia"/>
                <w:color w:val="auto"/>
                <w:kern w:val="0"/>
                <w:sz w:val="18"/>
                <w:szCs w:val="18"/>
              </w:rPr>
              <w:t>□</w:t>
            </w:r>
          </w:p>
          <w:p>
            <w:pPr>
              <w:widowControl/>
              <w:snapToGrid w:val="0"/>
              <w:spacing w:line="220" w:lineRule="exact"/>
              <w:ind w:left="1" w:leftChars="-44" w:hanging="142" w:hangingChars="79"/>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已接入</w:t>
            </w:r>
            <w:r>
              <w:rPr>
                <w:rFonts w:asciiTheme="minorEastAsia" w:hAnsiTheme="minorEastAsia" w:eastAsiaTheme="minorEastAsia"/>
                <w:color w:val="auto"/>
                <w:kern w:val="0"/>
                <w:sz w:val="18"/>
                <w:szCs w:val="18"/>
              </w:rPr>
              <w:t>□</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3</w:t>
            </w:r>
            <w:r>
              <w:rPr>
                <w:rFonts w:asciiTheme="minorEastAsia" w:hAnsiTheme="minorEastAsia" w:eastAsiaTheme="minorEastAsia"/>
                <w:color w:val="auto"/>
                <w:kern w:val="0"/>
                <w:sz w:val="18"/>
                <w:szCs w:val="18"/>
              </w:rPr>
              <w:t>.</w:t>
            </w:r>
            <w:r>
              <w:rPr>
                <w:rFonts w:hint="eastAsia" w:asciiTheme="minorEastAsia" w:hAnsiTheme="minorEastAsia" w:eastAsiaTheme="minorEastAsia"/>
                <w:color w:val="auto"/>
                <w:sz w:val="18"/>
                <w:szCs w:val="18"/>
              </w:rPr>
              <w:t>专职消防队、</w:t>
            </w:r>
            <w:r>
              <w:rPr>
                <w:rFonts w:asciiTheme="minorEastAsia" w:hAnsiTheme="minorEastAsia" w:eastAsiaTheme="minorEastAsia"/>
                <w:color w:val="auto"/>
                <w:kern w:val="0"/>
                <w:sz w:val="18"/>
                <w:szCs w:val="18"/>
              </w:rPr>
              <w:t>微型消防站人数</w:t>
            </w:r>
            <w:r>
              <w:rPr>
                <w:rFonts w:asciiTheme="minorEastAsia" w:hAnsiTheme="minorEastAsia" w:eastAsiaTheme="minorEastAsia"/>
                <w:color w:val="auto"/>
                <w:sz w:val="18"/>
                <w:szCs w:val="18"/>
              </w:rPr>
              <w:t>（）人</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hint="eastAsia" w:asciiTheme="minorEastAsia" w:hAnsiTheme="minorEastAsia" w:eastAsiaTheme="minorEastAsia"/>
                <w:color w:val="auto"/>
                <w:kern w:val="0"/>
                <w:sz w:val="18"/>
                <w:szCs w:val="18"/>
              </w:rPr>
              <w:t>4</w:t>
            </w:r>
            <w:r>
              <w:rPr>
                <w:rFonts w:asciiTheme="minorEastAsia" w:hAnsiTheme="minorEastAsia" w:eastAsiaTheme="minorEastAsia"/>
                <w:color w:val="auto"/>
                <w:kern w:val="0"/>
                <w:sz w:val="18"/>
                <w:szCs w:val="18"/>
              </w:rPr>
              <w:t>.违规设置群租房</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3117"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5.</w:t>
            </w:r>
            <w:r>
              <w:rPr>
                <w:rFonts w:asciiTheme="minorEastAsia" w:hAnsiTheme="minorEastAsia" w:eastAsiaTheme="minorEastAsia"/>
                <w:color w:val="auto"/>
                <w:kern w:val="0"/>
                <w:sz w:val="18"/>
                <w:szCs w:val="18"/>
              </w:rPr>
              <w:t>已搬离</w:t>
            </w:r>
            <w:r>
              <w:rPr>
                <w:rFonts w:hint="eastAsia" w:asciiTheme="minorEastAsia" w:hAnsiTheme="minorEastAsia" w:eastAsiaTheme="minorEastAsia"/>
                <w:color w:val="auto"/>
                <w:kern w:val="0"/>
                <w:sz w:val="18"/>
                <w:szCs w:val="18"/>
              </w:rPr>
              <w:t>群租房</w:t>
            </w:r>
            <w:r>
              <w:rPr>
                <w:rFonts w:asciiTheme="minorEastAsia" w:hAnsiTheme="minorEastAsia" w:eastAsiaTheme="minorEastAsia"/>
                <w:color w:val="auto"/>
                <w:kern w:val="0"/>
                <w:sz w:val="18"/>
                <w:szCs w:val="18"/>
              </w:rPr>
              <w:t>（）处</w:t>
            </w:r>
          </w:p>
        </w:tc>
        <w:tc>
          <w:tcPr>
            <w:tcW w:w="1800"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6</w:t>
            </w:r>
            <w:r>
              <w:rPr>
                <w:rFonts w:asciiTheme="minorEastAsia" w:hAnsiTheme="minorEastAsia" w:eastAsiaTheme="minorEastAsia"/>
                <w:color w:val="auto"/>
                <w:kern w:val="0"/>
                <w:sz w:val="18"/>
                <w:szCs w:val="18"/>
              </w:rPr>
              <w:t>.已清退</w:t>
            </w:r>
            <w:r>
              <w:rPr>
                <w:rFonts w:hint="eastAsia" w:asciiTheme="minorEastAsia" w:hAnsiTheme="minorEastAsia" w:eastAsiaTheme="minorEastAsia"/>
                <w:color w:val="auto"/>
                <w:kern w:val="0"/>
                <w:sz w:val="18"/>
                <w:szCs w:val="18"/>
              </w:rPr>
              <w:t>群租人员</w:t>
            </w:r>
            <w:r>
              <w:rPr>
                <w:rFonts w:asciiTheme="minorEastAsia" w:hAnsiTheme="minorEastAsia" w:eastAsiaTheme="minorEastAsia"/>
                <w:color w:val="auto"/>
                <w:kern w:val="0"/>
                <w:sz w:val="18"/>
                <w:szCs w:val="18"/>
              </w:rPr>
              <w:t>（）人</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7</w:t>
            </w:r>
            <w:r>
              <w:rPr>
                <w:rFonts w:asciiTheme="minorEastAsia" w:hAnsiTheme="minorEastAsia" w:eastAsiaTheme="minorEastAsia"/>
                <w:color w:val="auto"/>
                <w:kern w:val="0"/>
                <w:sz w:val="18"/>
                <w:szCs w:val="18"/>
              </w:rPr>
              <w:t>.物业服务企业或管理单位</w:t>
            </w:r>
            <w:r>
              <w:rPr>
                <w:rFonts w:hint="eastAsia" w:asciiTheme="minorEastAsia" w:hAnsiTheme="minorEastAsia" w:eastAsiaTheme="minorEastAsia"/>
                <w:color w:val="auto"/>
                <w:kern w:val="0"/>
                <w:sz w:val="18"/>
                <w:szCs w:val="18"/>
              </w:rPr>
              <w:t>未</w:t>
            </w:r>
            <w:r>
              <w:rPr>
                <w:rFonts w:asciiTheme="minorEastAsia" w:hAnsiTheme="minorEastAsia" w:eastAsiaTheme="minorEastAsia"/>
                <w:color w:val="auto"/>
                <w:kern w:val="0"/>
                <w:sz w:val="18"/>
                <w:szCs w:val="18"/>
              </w:rPr>
              <w:t>明确落实消防安全责任</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4917" w:type="dxa"/>
            <w:gridSpan w:val="1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8</w:t>
            </w:r>
            <w:r>
              <w:rPr>
                <w:rFonts w:asciiTheme="minorEastAsia" w:hAnsiTheme="minorEastAsia" w:eastAsiaTheme="minorEastAsia"/>
                <w:color w:val="auto"/>
                <w:kern w:val="0"/>
                <w:sz w:val="18"/>
                <w:szCs w:val="18"/>
              </w:rPr>
              <w:t>.查处违法执业消防技术服务机构（）</w:t>
            </w:r>
            <w:r>
              <w:rPr>
                <w:rFonts w:hint="eastAsia" w:asciiTheme="minorEastAsia" w:hAnsiTheme="minorEastAsia" w:eastAsiaTheme="minorEastAsia"/>
                <w:color w:val="auto"/>
                <w:kern w:val="0"/>
                <w:sz w:val="18"/>
                <w:szCs w:val="18"/>
              </w:rPr>
              <w:t>家</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r>
              <w:rPr>
                <w:rFonts w:ascii="黑体" w:hAnsi="黑体" w:eastAsia="黑体"/>
                <w:color w:val="auto"/>
                <w:sz w:val="18"/>
                <w:szCs w:val="18"/>
              </w:rPr>
              <w:t>13.装饰装修、临时搭建</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sz w:val="18"/>
                <w:szCs w:val="18"/>
              </w:rPr>
              <w:t>1.</w:t>
            </w:r>
            <w:r>
              <w:rPr>
                <w:rFonts w:asciiTheme="minorEastAsia" w:hAnsiTheme="minorEastAsia" w:eastAsiaTheme="minorEastAsia"/>
                <w:color w:val="auto"/>
                <w:kern w:val="0"/>
                <w:sz w:val="18"/>
                <w:szCs w:val="18"/>
              </w:rPr>
              <w:t>违规使用聚氨酯、聚苯乙烯等易燃可燃材料装饰装修</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r>
              <w:rPr>
                <w:rFonts w:asciiTheme="minorEastAsia" w:hAnsiTheme="minorEastAsia" w:eastAsiaTheme="minorEastAsia"/>
                <w:color w:val="auto"/>
                <w:kern w:val="0"/>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已替换易燃可燃材料面积（）㎡</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hint="eastAsia" w:asciiTheme="minorEastAsia" w:hAnsiTheme="minorEastAsia" w:eastAsiaTheme="minorEastAsia"/>
                <w:color w:val="auto"/>
                <w:sz w:val="18"/>
                <w:szCs w:val="18"/>
              </w:rPr>
              <w:t>2</w:t>
            </w:r>
            <w:r>
              <w:rPr>
                <w:rFonts w:asciiTheme="minorEastAsia" w:hAnsiTheme="minorEastAsia" w:eastAsiaTheme="minorEastAsia"/>
                <w:color w:val="auto"/>
                <w:sz w:val="18"/>
                <w:szCs w:val="18"/>
              </w:rPr>
              <w:t>.</w:t>
            </w:r>
            <w:r>
              <w:rPr>
                <w:rFonts w:hint="eastAsia" w:asciiTheme="minorEastAsia" w:hAnsiTheme="minorEastAsia" w:eastAsiaTheme="minorEastAsia"/>
                <w:color w:val="auto"/>
                <w:sz w:val="18"/>
                <w:szCs w:val="18"/>
              </w:rPr>
              <w:t>在</w:t>
            </w:r>
            <w:r>
              <w:rPr>
                <w:rFonts w:asciiTheme="minorEastAsia" w:hAnsiTheme="minorEastAsia" w:eastAsiaTheme="minorEastAsia"/>
                <w:color w:val="auto"/>
                <w:sz w:val="18"/>
                <w:szCs w:val="18"/>
              </w:rPr>
              <w:t>屋</w:t>
            </w:r>
            <w:r>
              <w:rPr>
                <w:rFonts w:hint="eastAsia" w:asciiTheme="minorEastAsia" w:hAnsiTheme="minorEastAsia" w:eastAsiaTheme="minorEastAsia"/>
                <w:color w:val="auto"/>
                <w:sz w:val="18"/>
                <w:szCs w:val="18"/>
              </w:rPr>
              <w:t>顶</w:t>
            </w:r>
            <w:r>
              <w:rPr>
                <w:rFonts w:asciiTheme="minorEastAsia" w:hAnsiTheme="minorEastAsia" w:eastAsiaTheme="minorEastAsia"/>
                <w:color w:val="auto"/>
                <w:sz w:val="18"/>
                <w:szCs w:val="18"/>
              </w:rPr>
              <w:t>、室</w:t>
            </w:r>
            <w:r>
              <w:rPr>
                <w:rFonts w:hint="eastAsia" w:asciiTheme="minorEastAsia" w:hAnsiTheme="minorEastAsia" w:eastAsiaTheme="minorEastAsia"/>
                <w:color w:val="auto"/>
                <w:sz w:val="18"/>
                <w:szCs w:val="18"/>
              </w:rPr>
              <w:t>内</w:t>
            </w:r>
            <w:r>
              <w:rPr>
                <w:rFonts w:asciiTheme="minorEastAsia" w:hAnsiTheme="minorEastAsia" w:eastAsiaTheme="minorEastAsia"/>
                <w:color w:val="auto"/>
                <w:sz w:val="18"/>
                <w:szCs w:val="18"/>
              </w:rPr>
              <w:t>等区域</w:t>
            </w:r>
            <w:r>
              <w:rPr>
                <w:rFonts w:hint="eastAsia" w:asciiTheme="minorEastAsia" w:hAnsiTheme="minorEastAsia" w:eastAsiaTheme="minorEastAsia"/>
                <w:color w:val="auto"/>
                <w:sz w:val="18"/>
                <w:szCs w:val="18"/>
              </w:rPr>
              <w:t>违规</w:t>
            </w:r>
            <w:r>
              <w:rPr>
                <w:rFonts w:asciiTheme="minorEastAsia" w:hAnsiTheme="minorEastAsia" w:eastAsiaTheme="minorEastAsia"/>
                <w:color w:val="auto"/>
                <w:sz w:val="18"/>
                <w:szCs w:val="18"/>
              </w:rPr>
              <w:t>使用易燃可燃夹芯彩钢板搭建临时用房</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清除室内（）处</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清除屋顶（）处</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r>
              <w:rPr>
                <w:rFonts w:ascii="黑体" w:hAnsi="黑体" w:eastAsia="黑体"/>
                <w:color w:val="auto"/>
                <w:sz w:val="18"/>
                <w:szCs w:val="18"/>
              </w:rPr>
              <w:t>14.用火用电用气安全管理</w:t>
            </w: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asciiTheme="minorEastAsia" w:hAnsiTheme="minorEastAsia" w:eastAsiaTheme="minorEastAsia"/>
                <w:color w:val="auto"/>
                <w:sz w:val="18"/>
                <w:szCs w:val="18"/>
              </w:rPr>
              <w:t>1.违规储存、经营、使用易燃易爆危险品</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p>
        </w:tc>
        <w:tc>
          <w:tcPr>
            <w:tcW w:w="2479"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sz w:val="18"/>
                <w:szCs w:val="18"/>
              </w:rPr>
              <w:t>2</w:t>
            </w:r>
            <w:r>
              <w:rPr>
                <w:rFonts w:asciiTheme="minorEastAsia" w:hAnsiTheme="minorEastAsia" w:eastAsiaTheme="minorEastAsia"/>
                <w:color w:val="auto"/>
                <w:sz w:val="18"/>
                <w:szCs w:val="18"/>
              </w:rPr>
              <w:t>. 违规敷设、安装燃气管线、燃气用具</w:t>
            </w:r>
          </w:p>
        </w:tc>
        <w:tc>
          <w:tcPr>
            <w:tcW w:w="180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c>
          <w:tcPr>
            <w:tcW w:w="2062" w:type="dxa"/>
            <w:gridSpan w:val="7"/>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查处</w:t>
            </w:r>
            <w:r>
              <w:rPr>
                <w:rFonts w:asciiTheme="minorEastAsia" w:hAnsiTheme="minorEastAsia" w:eastAsiaTheme="minorEastAsia"/>
                <w:color w:val="auto"/>
                <w:sz w:val="18"/>
                <w:szCs w:val="18"/>
              </w:rPr>
              <w:t>违规敷设、安装燃气管线、燃气用具</w:t>
            </w:r>
            <w:r>
              <w:rPr>
                <w:rFonts w:asciiTheme="minorEastAsia" w:hAnsiTheme="minorEastAsia" w:eastAsiaTheme="minorEastAsia"/>
                <w:color w:val="auto"/>
                <w:kern w:val="0"/>
                <w:sz w:val="18"/>
                <w:szCs w:val="18"/>
              </w:rPr>
              <w:t>（）处</w:t>
            </w:r>
          </w:p>
          <w:p>
            <w:pPr>
              <w:widowControl/>
              <w:snapToGrid w:val="0"/>
              <w:spacing w:line="220" w:lineRule="exact"/>
              <w:jc w:val="center"/>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安装燃气泄漏报警器（）个</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p>
        </w:tc>
        <w:tc>
          <w:tcPr>
            <w:tcW w:w="9201" w:type="dxa"/>
            <w:gridSpan w:val="2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hint="eastAsia" w:asciiTheme="minorEastAsia" w:hAnsiTheme="minorEastAsia" w:eastAsiaTheme="minorEastAsia"/>
                <w:color w:val="auto"/>
                <w:kern w:val="0"/>
                <w:sz w:val="18"/>
                <w:szCs w:val="18"/>
              </w:rPr>
              <w:t>3</w:t>
            </w:r>
            <w:r>
              <w:rPr>
                <w:rFonts w:asciiTheme="minorEastAsia" w:hAnsiTheme="minorEastAsia" w:eastAsiaTheme="minorEastAsia"/>
                <w:color w:val="auto"/>
                <w:kern w:val="0"/>
                <w:sz w:val="18"/>
                <w:szCs w:val="18"/>
              </w:rPr>
              <w:t>.</w:t>
            </w:r>
            <w:r>
              <w:rPr>
                <w:rFonts w:hint="eastAsia" w:asciiTheme="minorEastAsia" w:hAnsiTheme="minorEastAsia" w:eastAsiaTheme="minorEastAsia"/>
                <w:color w:val="auto"/>
                <w:kern w:val="0"/>
                <w:sz w:val="18"/>
                <w:szCs w:val="18"/>
              </w:rPr>
              <w:t>推动</w:t>
            </w:r>
            <w:r>
              <w:rPr>
                <w:rFonts w:asciiTheme="minorEastAsia" w:hAnsiTheme="minorEastAsia" w:eastAsiaTheme="minorEastAsia"/>
                <w:color w:val="auto"/>
                <w:kern w:val="0"/>
                <w:sz w:val="18"/>
                <w:szCs w:val="18"/>
              </w:rPr>
              <w:t>安装电动自行车集中充电装置（）</w:t>
            </w:r>
            <w:r>
              <w:rPr>
                <w:rFonts w:hint="eastAsia" w:asciiTheme="minorEastAsia" w:hAnsiTheme="minorEastAsia" w:eastAsiaTheme="minorEastAsia"/>
                <w:color w:val="auto"/>
                <w:kern w:val="0"/>
                <w:sz w:val="18"/>
                <w:szCs w:val="18"/>
              </w:rPr>
              <w:t>套</w:t>
            </w:r>
          </w:p>
        </w:tc>
      </w:tr>
      <w:tr>
        <w:tblPrEx>
          <w:tblLayout w:type="fixed"/>
          <w:tblCellMar>
            <w:top w:w="0" w:type="dxa"/>
            <w:left w:w="108" w:type="dxa"/>
            <w:bottom w:w="0" w:type="dxa"/>
            <w:right w:w="108" w:type="dxa"/>
          </w:tblCellMar>
        </w:tblPrEx>
        <w:trPr>
          <w:trHeight w:val="567" w:hRule="atLeast"/>
          <w:jc w:val="center"/>
        </w:trPr>
        <w:tc>
          <w:tcPr>
            <w:tcW w:w="843" w:type="dxa"/>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r>
              <w:rPr>
                <w:rFonts w:ascii="黑体" w:hAnsi="黑体" w:eastAsia="黑体"/>
                <w:color w:val="auto"/>
                <w:sz w:val="18"/>
                <w:szCs w:val="18"/>
              </w:rPr>
              <w:t>15.防火分隔</w:t>
            </w:r>
          </w:p>
        </w:tc>
        <w:tc>
          <w:tcPr>
            <w:tcW w:w="4284"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sz w:val="18"/>
                <w:szCs w:val="18"/>
              </w:rPr>
            </w:pPr>
            <w:r>
              <w:rPr>
                <w:rFonts w:asciiTheme="minorEastAsia" w:hAnsiTheme="minorEastAsia" w:eastAsiaTheme="minorEastAsia"/>
                <w:color w:val="auto"/>
                <w:sz w:val="18"/>
                <w:szCs w:val="18"/>
              </w:rPr>
              <w:t>1.</w:t>
            </w:r>
            <w:r>
              <w:rPr>
                <w:rFonts w:hint="eastAsia" w:asciiTheme="minorEastAsia" w:hAnsiTheme="minorEastAsia" w:eastAsiaTheme="minorEastAsia"/>
                <w:color w:val="auto"/>
                <w:sz w:val="18"/>
                <w:szCs w:val="18"/>
              </w:rPr>
              <w:t>住宅部分与非住宅部分防火分隔不到位，共用疏散楼梯</w:t>
            </w:r>
          </w:p>
        </w:tc>
        <w:tc>
          <w:tcPr>
            <w:tcW w:w="1057"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否□</w:t>
            </w:r>
          </w:p>
        </w:tc>
        <w:tc>
          <w:tcPr>
            <w:tcW w:w="1005" w:type="dxa"/>
            <w:gridSpan w:val="3"/>
            <w:vMerge w:val="restart"/>
            <w:tcBorders>
              <w:top w:val="single" w:color="auto" w:sz="4" w:space="0"/>
              <w:left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是否完成整改</w:t>
            </w: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rPr>
                <w:rFonts w:ascii="黑体" w:hAnsi="黑体" w:eastAsia="黑体"/>
                <w:color w:val="auto"/>
                <w:sz w:val="18"/>
                <w:szCs w:val="18"/>
              </w:rPr>
            </w:pPr>
          </w:p>
        </w:tc>
        <w:tc>
          <w:tcPr>
            <w:tcW w:w="4284"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left"/>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2.</w:t>
            </w:r>
            <w:r>
              <w:rPr>
                <w:rFonts w:hint="eastAsia" w:asciiTheme="minorEastAsia" w:hAnsiTheme="minorEastAsia" w:eastAsiaTheme="minorEastAsia"/>
                <w:color w:val="auto"/>
                <w:kern w:val="0"/>
                <w:sz w:val="18"/>
                <w:szCs w:val="18"/>
              </w:rPr>
              <w:t>违规设置人员密集场所、仓储场所</w:t>
            </w:r>
          </w:p>
        </w:tc>
        <w:tc>
          <w:tcPr>
            <w:tcW w:w="1057"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w:t>
            </w:r>
          </w:p>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否□</w:t>
            </w:r>
          </w:p>
        </w:tc>
        <w:tc>
          <w:tcPr>
            <w:tcW w:w="1005" w:type="dxa"/>
            <w:gridSpan w:val="3"/>
            <w:vMerge w:val="continue"/>
            <w:tcBorders>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2855"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Theme="minorEastAsia" w:hAnsiTheme="minorEastAsia" w:eastAsiaTheme="minorEastAsia"/>
                <w:color w:val="auto"/>
                <w:kern w:val="0"/>
                <w:sz w:val="18"/>
                <w:szCs w:val="18"/>
              </w:rPr>
              <w:t>是□ 否□</w:t>
            </w:r>
          </w:p>
        </w:tc>
      </w:tr>
      <w:tr>
        <w:tblPrEx>
          <w:tblLayout w:type="fixed"/>
          <w:tblCellMar>
            <w:top w:w="0" w:type="dxa"/>
            <w:left w:w="108" w:type="dxa"/>
            <w:bottom w:w="0" w:type="dxa"/>
            <w:right w:w="108" w:type="dxa"/>
          </w:tblCellMar>
        </w:tblPrEx>
        <w:trPr>
          <w:trHeight w:val="567" w:hRule="atLeast"/>
          <w:jc w:val="center"/>
        </w:trPr>
        <w:tc>
          <w:tcPr>
            <w:tcW w:w="84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r>
              <w:rPr>
                <w:rFonts w:ascii="黑体" w:hAnsi="黑体" w:eastAsia="黑体"/>
                <w:color w:val="auto"/>
                <w:kern w:val="0"/>
                <w:sz w:val="18"/>
                <w:szCs w:val="18"/>
              </w:rPr>
              <w:t>1</w:t>
            </w:r>
            <w:r>
              <w:rPr>
                <w:rFonts w:hint="eastAsia" w:ascii="黑体" w:hAnsi="黑体" w:eastAsia="黑体"/>
                <w:color w:val="auto"/>
                <w:kern w:val="0"/>
                <w:sz w:val="18"/>
                <w:szCs w:val="18"/>
              </w:rPr>
              <w:t>6</w:t>
            </w:r>
            <w:r>
              <w:rPr>
                <w:rFonts w:ascii="黑体" w:hAnsi="黑体" w:eastAsia="黑体"/>
                <w:color w:val="auto"/>
                <w:kern w:val="0"/>
                <w:sz w:val="18"/>
                <w:szCs w:val="18"/>
              </w:rPr>
              <w:t>.备注</w:t>
            </w:r>
            <w:r>
              <w:rPr>
                <w:rFonts w:hint="eastAsia" w:ascii="黑体" w:hAnsi="黑体" w:eastAsia="黑体"/>
                <w:color w:val="auto"/>
                <w:kern w:val="0"/>
                <w:sz w:val="18"/>
                <w:szCs w:val="18"/>
              </w:rPr>
              <w:t>(主要隐患描述)</w:t>
            </w:r>
          </w:p>
        </w:tc>
        <w:tc>
          <w:tcPr>
            <w:tcW w:w="9201" w:type="dxa"/>
            <w:gridSpan w:val="28"/>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r>
        <w:tblPrEx>
          <w:tblLayout w:type="fixed"/>
          <w:tblCellMar>
            <w:top w:w="0" w:type="dxa"/>
            <w:left w:w="108" w:type="dxa"/>
            <w:bottom w:w="0" w:type="dxa"/>
            <w:right w:w="108" w:type="dxa"/>
          </w:tblCellMar>
        </w:tblPrEx>
        <w:trPr>
          <w:trHeight w:val="567" w:hRule="atLeast"/>
          <w:jc w:val="center"/>
        </w:trPr>
        <w:tc>
          <w:tcPr>
            <w:tcW w:w="84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kern w:val="0"/>
                <w:sz w:val="18"/>
                <w:szCs w:val="18"/>
              </w:rPr>
            </w:pPr>
            <w:r>
              <w:rPr>
                <w:rFonts w:ascii="黑体" w:hAnsi="黑体" w:eastAsia="黑体"/>
                <w:color w:val="auto"/>
                <w:sz w:val="18"/>
                <w:szCs w:val="18"/>
              </w:rPr>
              <w:t>1</w:t>
            </w:r>
            <w:r>
              <w:rPr>
                <w:rFonts w:hint="eastAsia" w:ascii="黑体" w:hAnsi="黑体" w:eastAsia="黑体"/>
                <w:color w:val="auto"/>
                <w:sz w:val="18"/>
                <w:szCs w:val="18"/>
              </w:rPr>
              <w:t>7</w:t>
            </w:r>
            <w:r>
              <w:rPr>
                <w:rFonts w:ascii="黑体" w:hAnsi="黑体" w:eastAsia="黑体"/>
                <w:color w:val="auto"/>
                <w:sz w:val="18"/>
                <w:szCs w:val="18"/>
              </w:rPr>
              <w:t>.填表</w:t>
            </w:r>
            <w:r>
              <w:rPr>
                <w:rFonts w:hint="eastAsia" w:ascii="黑体" w:hAnsi="黑体" w:eastAsia="黑体"/>
                <w:color w:val="auto"/>
                <w:sz w:val="18"/>
                <w:szCs w:val="18"/>
              </w:rPr>
              <w:t>人</w:t>
            </w:r>
          </w:p>
        </w:tc>
        <w:tc>
          <w:tcPr>
            <w:tcW w:w="2855" w:type="dxa"/>
            <w:gridSpan w:val="6"/>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c>
          <w:tcPr>
            <w:tcW w:w="1429"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r>
              <w:rPr>
                <w:rFonts w:ascii="黑体" w:hAnsi="黑体" w:eastAsia="黑体"/>
                <w:color w:val="auto"/>
                <w:sz w:val="18"/>
                <w:szCs w:val="18"/>
              </w:rPr>
              <w:t>1</w:t>
            </w:r>
            <w:r>
              <w:rPr>
                <w:rFonts w:hint="eastAsia" w:ascii="黑体" w:hAnsi="黑体" w:eastAsia="黑体"/>
                <w:color w:val="auto"/>
                <w:sz w:val="18"/>
                <w:szCs w:val="18"/>
              </w:rPr>
              <w:t>8</w:t>
            </w:r>
            <w:r>
              <w:rPr>
                <w:rFonts w:ascii="黑体" w:hAnsi="黑体" w:eastAsia="黑体"/>
                <w:color w:val="auto"/>
                <w:sz w:val="18"/>
                <w:szCs w:val="18"/>
              </w:rPr>
              <w:t>.</w:t>
            </w:r>
            <w:r>
              <w:rPr>
                <w:rFonts w:hint="eastAsia" w:ascii="黑体" w:hAnsi="黑体" w:eastAsia="黑体"/>
                <w:color w:val="auto"/>
                <w:sz w:val="18"/>
                <w:szCs w:val="18"/>
              </w:rPr>
              <w:t>审核人</w:t>
            </w:r>
          </w:p>
        </w:tc>
        <w:tc>
          <w:tcPr>
            <w:tcW w:w="2062"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sz w:val="18"/>
                <w:szCs w:val="18"/>
              </w:rPr>
            </w:pPr>
          </w:p>
        </w:tc>
        <w:tc>
          <w:tcPr>
            <w:tcW w:w="1427"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黑体" w:hAnsi="黑体" w:eastAsia="黑体"/>
                <w:color w:val="auto"/>
                <w:sz w:val="18"/>
                <w:szCs w:val="18"/>
              </w:rPr>
            </w:pPr>
            <w:r>
              <w:rPr>
                <w:rFonts w:hint="eastAsia" w:ascii="黑体" w:hAnsi="黑体" w:eastAsia="黑体"/>
                <w:color w:val="auto"/>
                <w:sz w:val="18"/>
                <w:szCs w:val="18"/>
              </w:rPr>
              <w:t>19.</w:t>
            </w:r>
            <w:r>
              <w:rPr>
                <w:rFonts w:ascii="黑体" w:hAnsi="黑体" w:eastAsia="黑体"/>
                <w:color w:val="auto"/>
                <w:sz w:val="18"/>
                <w:szCs w:val="18"/>
              </w:rPr>
              <w:t>填表日期</w:t>
            </w:r>
          </w:p>
        </w:tc>
        <w:tc>
          <w:tcPr>
            <w:tcW w:w="1428"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widowControl/>
              <w:snapToGrid w:val="0"/>
              <w:spacing w:line="220" w:lineRule="exact"/>
              <w:jc w:val="center"/>
              <w:rPr>
                <w:rFonts w:asciiTheme="minorEastAsia" w:hAnsiTheme="minorEastAsia" w:eastAsiaTheme="minorEastAsia"/>
                <w:color w:val="auto"/>
                <w:kern w:val="0"/>
                <w:sz w:val="18"/>
                <w:szCs w:val="18"/>
              </w:rPr>
            </w:pPr>
          </w:p>
        </w:tc>
      </w:tr>
    </w:tbl>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p>
    <w:p>
      <w:pPr>
        <w:widowControl/>
        <w:spacing w:line="400" w:lineRule="exact"/>
        <w:jc w:val="center"/>
        <w:rPr>
          <w:rFonts w:eastAsia="方正小标宋_GBK"/>
          <w:color w:val="auto"/>
          <w:kern w:val="0"/>
          <w:sz w:val="36"/>
          <w:szCs w:val="18"/>
        </w:rPr>
      </w:pPr>
      <w:r>
        <w:rPr>
          <w:rFonts w:eastAsia="方正小标宋_GBK"/>
          <w:color w:val="auto"/>
          <w:kern w:val="0"/>
          <w:sz w:val="36"/>
          <w:szCs w:val="18"/>
        </w:rPr>
        <w:t>填表说明</w:t>
      </w:r>
    </w:p>
    <w:p>
      <w:pPr>
        <w:widowControl/>
        <w:adjustRightInd w:val="0"/>
        <w:snapToGrid w:val="0"/>
        <w:spacing w:line="400" w:lineRule="exact"/>
        <w:ind w:firstLine="560" w:firstLineChars="200"/>
        <w:rPr>
          <w:color w:val="auto"/>
          <w:kern w:val="0"/>
          <w:sz w:val="28"/>
          <w:szCs w:val="18"/>
        </w:rPr>
      </w:pPr>
    </w:p>
    <w:p>
      <w:pPr>
        <w:widowControl/>
        <w:adjustRightInd w:val="0"/>
        <w:snapToGrid w:val="0"/>
        <w:spacing w:line="400" w:lineRule="exact"/>
        <w:ind w:firstLine="560" w:firstLineChars="200"/>
        <w:rPr>
          <w:color w:val="auto"/>
          <w:kern w:val="0"/>
          <w:sz w:val="28"/>
          <w:szCs w:val="18"/>
        </w:rPr>
      </w:pPr>
      <w:r>
        <w:rPr>
          <w:color w:val="auto"/>
          <w:kern w:val="0"/>
          <w:sz w:val="28"/>
          <w:szCs w:val="18"/>
        </w:rPr>
        <w:t>一、附属于主体建筑，但建筑高度超过24米的商场按一栋商场建筑统计。</w:t>
      </w:r>
    </w:p>
    <w:p>
      <w:pPr>
        <w:adjustRightInd w:val="0"/>
        <w:snapToGrid w:val="0"/>
        <w:spacing w:line="400" w:lineRule="exact"/>
        <w:ind w:firstLine="560" w:firstLineChars="200"/>
        <w:jc w:val="left"/>
        <w:rPr>
          <w:color w:val="auto"/>
          <w:kern w:val="0"/>
          <w:sz w:val="28"/>
          <w:szCs w:val="18"/>
        </w:rPr>
      </w:pPr>
      <w:r>
        <w:rPr>
          <w:color w:val="auto"/>
          <w:kern w:val="0"/>
          <w:sz w:val="28"/>
          <w:szCs w:val="18"/>
        </w:rPr>
        <w:t>二、医院、学校内为医疗、教学服务配套的高层建筑均计入医院、学校建筑内。</w:t>
      </w:r>
    </w:p>
    <w:p>
      <w:pPr>
        <w:adjustRightInd w:val="0"/>
        <w:snapToGrid w:val="0"/>
        <w:spacing w:line="400" w:lineRule="exact"/>
        <w:ind w:firstLine="560" w:firstLineChars="200"/>
        <w:jc w:val="left"/>
        <w:rPr>
          <w:color w:val="auto"/>
          <w:kern w:val="0"/>
          <w:sz w:val="28"/>
          <w:szCs w:val="18"/>
        </w:rPr>
      </w:pPr>
      <w:r>
        <w:rPr>
          <w:color w:val="auto"/>
          <w:kern w:val="0"/>
          <w:sz w:val="28"/>
          <w:szCs w:val="18"/>
        </w:rPr>
        <w:t>三、建筑高度大于24米的单层厂房、仓库和其他民用建筑（比如体育馆、游泳馆等单层建筑）不在统计范围。</w:t>
      </w:r>
    </w:p>
    <w:p>
      <w:pPr>
        <w:adjustRightInd w:val="0"/>
        <w:snapToGrid w:val="0"/>
        <w:spacing w:line="400" w:lineRule="exact"/>
        <w:ind w:firstLine="560" w:firstLineChars="200"/>
        <w:jc w:val="left"/>
        <w:rPr>
          <w:color w:val="auto"/>
          <w:kern w:val="0"/>
          <w:sz w:val="28"/>
          <w:szCs w:val="18"/>
        </w:rPr>
      </w:pPr>
      <w:r>
        <w:rPr>
          <w:color w:val="auto"/>
          <w:kern w:val="0"/>
          <w:sz w:val="28"/>
          <w:szCs w:val="18"/>
        </w:rPr>
        <w:t>四、对电缆井、管道井，必须实地检查建筑首层、顶层和地下一层。</w:t>
      </w:r>
    </w:p>
    <w:p>
      <w:pPr>
        <w:adjustRightInd w:val="0"/>
        <w:snapToGrid w:val="0"/>
        <w:spacing w:line="400" w:lineRule="exact"/>
        <w:ind w:firstLine="560" w:firstLineChars="200"/>
        <w:jc w:val="left"/>
        <w:rPr>
          <w:color w:val="auto"/>
          <w:kern w:val="0"/>
          <w:sz w:val="28"/>
          <w:szCs w:val="18"/>
        </w:rPr>
      </w:pPr>
      <w:r>
        <w:rPr>
          <w:color w:val="auto"/>
          <w:kern w:val="0"/>
          <w:sz w:val="28"/>
          <w:szCs w:val="18"/>
        </w:rPr>
        <w:t>五、要重点围绕突出风险开展自查排查，明确整改责任，督促落实整改措施，动态掌握整改进度。</w:t>
      </w:r>
    </w:p>
    <w:p>
      <w:pPr>
        <w:adjustRightInd w:val="0"/>
        <w:snapToGrid w:val="0"/>
        <w:spacing w:line="400" w:lineRule="exact"/>
        <w:ind w:firstLine="560" w:firstLineChars="200"/>
        <w:jc w:val="left"/>
        <w:rPr>
          <w:color w:val="auto"/>
          <w:kern w:val="0"/>
          <w:sz w:val="28"/>
          <w:szCs w:val="18"/>
        </w:rPr>
      </w:pPr>
      <w:r>
        <w:rPr>
          <w:color w:val="auto"/>
          <w:kern w:val="0"/>
          <w:sz w:val="28"/>
          <w:szCs w:val="18"/>
        </w:rPr>
        <w:t>六、有关类别的注释说明：</w:t>
      </w:r>
    </w:p>
    <w:p>
      <w:pPr>
        <w:adjustRightInd w:val="0"/>
        <w:snapToGrid w:val="0"/>
        <w:spacing w:line="400" w:lineRule="exact"/>
        <w:ind w:firstLine="560" w:firstLineChars="200"/>
        <w:jc w:val="left"/>
        <w:rPr>
          <w:color w:val="auto"/>
          <w:kern w:val="0"/>
          <w:sz w:val="28"/>
          <w:szCs w:val="18"/>
        </w:rPr>
      </w:pPr>
      <w:r>
        <w:rPr>
          <w:color w:val="auto"/>
          <w:kern w:val="0"/>
          <w:sz w:val="28"/>
          <w:szCs w:val="18"/>
        </w:rPr>
        <w:t>1．不动产权证书中“规划用途”栏或附记栏中记载的建筑用途：</w:t>
      </w:r>
    </w:p>
    <w:p>
      <w:pPr>
        <w:adjustRightInd w:val="0"/>
        <w:snapToGrid w:val="0"/>
        <w:spacing w:line="400" w:lineRule="exact"/>
        <w:ind w:firstLine="560" w:firstLineChars="200"/>
        <w:jc w:val="left"/>
        <w:rPr>
          <w:color w:val="auto"/>
          <w:kern w:val="0"/>
          <w:sz w:val="28"/>
          <w:szCs w:val="18"/>
        </w:rPr>
      </w:pPr>
      <w:r>
        <w:rPr>
          <w:color w:val="auto"/>
          <w:kern w:val="0"/>
          <w:sz w:val="28"/>
          <w:szCs w:val="18"/>
        </w:rPr>
        <w:t>（1）住宅，注释：指居住用地上专供人们日常生活居住的房屋，包括各类普通住宅、公寓、别墅、宿舍等用房。主要包括：1.成套住宅：指由若干卧室、起居室、厨房、卫生间、室内走道或客厅等组成的供一户使用的房屋。2.非成套住宅：指人们生活居住的很不成套的房屋。3.集体宿舍：指机关、学校、企事业单位的单身职工、学生居住的房屋。集体宿舍是住宅的一部分。</w:t>
      </w:r>
    </w:p>
    <w:p>
      <w:pPr>
        <w:adjustRightInd w:val="0"/>
        <w:snapToGrid w:val="0"/>
        <w:spacing w:line="400" w:lineRule="exact"/>
        <w:ind w:firstLine="560" w:firstLineChars="200"/>
        <w:jc w:val="left"/>
        <w:rPr>
          <w:color w:val="auto"/>
          <w:kern w:val="0"/>
          <w:sz w:val="28"/>
          <w:szCs w:val="18"/>
        </w:rPr>
      </w:pPr>
      <w:r>
        <w:rPr>
          <w:color w:val="auto"/>
          <w:kern w:val="0"/>
          <w:sz w:val="28"/>
          <w:szCs w:val="18"/>
        </w:rPr>
        <w:t>（2）商业（营业），注释：指出让商业用地上各类商店、商场、宾馆、饭店、金融营业场所、经营性娱乐场所等及为其配套的附属设施用房。主要包括：1.商业服务：指各类商店、门市部、饮食店、粮油店、菜场、理发店、照相馆、浴室、旅社、招待所等从事商业和为居民生活服务所用的房屋。2.经营：指各种开发、装饰、中介公司等从事各类经营业务活动所用的房屋。3.旅游：指宾馆、饭店、乐园、俱乐部、旅行社等主要从事旅游服务所用的房屋。4.金融保险：指出让商业用地上的商业性办公用房。银行、储蓄所信用社、信托公司、证券公司、保险公司等从事金融服务所用的房屋。</w:t>
      </w:r>
    </w:p>
    <w:p>
      <w:pPr>
        <w:adjustRightInd w:val="0"/>
        <w:snapToGrid w:val="0"/>
        <w:spacing w:line="400" w:lineRule="exact"/>
        <w:ind w:firstLine="560" w:firstLineChars="200"/>
        <w:jc w:val="left"/>
        <w:rPr>
          <w:color w:val="auto"/>
          <w:kern w:val="0"/>
          <w:sz w:val="28"/>
          <w:szCs w:val="18"/>
        </w:rPr>
      </w:pPr>
      <w:r>
        <w:rPr>
          <w:color w:val="auto"/>
          <w:kern w:val="0"/>
          <w:sz w:val="28"/>
          <w:szCs w:val="18"/>
        </w:rPr>
        <w:t>（3）工业，注释：工矿企业的生产车间、库房及为其配套的附属设施用房。指独立设置的各类工厂、车间、手工作坊、发电厂等从事生产活动的房屋。</w:t>
      </w:r>
    </w:p>
    <w:p>
      <w:pPr>
        <w:adjustRightInd w:val="0"/>
        <w:snapToGrid w:val="0"/>
        <w:spacing w:line="400" w:lineRule="exact"/>
        <w:ind w:firstLine="560" w:firstLineChars="200"/>
        <w:jc w:val="left"/>
        <w:rPr>
          <w:color w:val="auto"/>
          <w:kern w:val="0"/>
          <w:sz w:val="28"/>
          <w:szCs w:val="18"/>
        </w:rPr>
      </w:pPr>
      <w:r>
        <w:rPr>
          <w:color w:val="auto"/>
          <w:kern w:val="0"/>
          <w:sz w:val="28"/>
          <w:szCs w:val="18"/>
        </w:rPr>
        <w:t>（4）仓储，注释：指独立地段的仓储企业的库房、堆场及其附属设施用房。如用于储备、中转、外贸、供应等各种仓库、油库用房。</w:t>
      </w:r>
    </w:p>
    <w:p>
      <w:pPr>
        <w:adjustRightInd w:val="0"/>
        <w:snapToGrid w:val="0"/>
        <w:spacing w:line="400" w:lineRule="exact"/>
        <w:ind w:firstLine="560" w:firstLineChars="200"/>
        <w:jc w:val="left"/>
        <w:rPr>
          <w:color w:val="auto"/>
          <w:kern w:val="0"/>
          <w:sz w:val="28"/>
          <w:szCs w:val="18"/>
        </w:rPr>
      </w:pPr>
      <w:r>
        <w:rPr>
          <w:color w:val="auto"/>
          <w:kern w:val="0"/>
          <w:sz w:val="28"/>
          <w:szCs w:val="18"/>
        </w:rPr>
        <w:t>（5）市政设施，主要包括：1.电讯信息：指各种邮电、电讯部门、信息产业部门，从事电讯与信息工作所用的房屋。2.公用设施：指供水、泵站、污水处理、供电、供气、供热、邮政、电信、垃圾处理、环卫设施、公厕、防洪、消防、水利、殡葬等市政公用设施的房屋。3.园林绿化：是指公园、动物园、植物园、陵园、苗圃、花圃、花园、风景名胜、防护林等所用的房屋。</w:t>
      </w:r>
    </w:p>
    <w:p>
      <w:pPr>
        <w:adjustRightInd w:val="0"/>
        <w:snapToGrid w:val="0"/>
        <w:spacing w:line="400" w:lineRule="exact"/>
        <w:ind w:firstLine="560" w:firstLineChars="200"/>
        <w:jc w:val="left"/>
        <w:rPr>
          <w:color w:val="auto"/>
          <w:kern w:val="0"/>
          <w:sz w:val="28"/>
          <w:szCs w:val="18"/>
        </w:rPr>
      </w:pPr>
      <w:r>
        <w:rPr>
          <w:color w:val="auto"/>
          <w:kern w:val="0"/>
          <w:sz w:val="28"/>
          <w:szCs w:val="18"/>
        </w:rPr>
        <w:t>（6）行政办公，主要包括：办公：指行政划拨土地上的党、政机关、群众团体、行政事业单位等行政、事业单位等机构所用的房屋。新闻：指广播电视台、电台、出版社、报社、杂志社、通讯社、记者站等从事新闻出版所用的房屋。科研：指各类从事自然科学、社会科学等研究设计、开发所用的房屋。</w:t>
      </w:r>
    </w:p>
    <w:p>
      <w:pPr>
        <w:adjustRightInd w:val="0"/>
        <w:snapToGrid w:val="0"/>
        <w:spacing w:line="400" w:lineRule="exact"/>
        <w:ind w:firstLine="560" w:firstLineChars="200"/>
        <w:jc w:val="left"/>
        <w:rPr>
          <w:color w:val="auto"/>
          <w:kern w:val="0"/>
          <w:sz w:val="28"/>
          <w:szCs w:val="18"/>
        </w:rPr>
      </w:pPr>
      <w:r>
        <w:rPr>
          <w:color w:val="auto"/>
          <w:kern w:val="0"/>
          <w:sz w:val="28"/>
          <w:szCs w:val="18"/>
        </w:rPr>
        <w:t>（7）教育，注释：指划拨或出让教育用地上的大专院校、中等专业学校、中学、小学、幼儿园、托儿所、职业学校、业余学校、干校、党校、进修院校、工读学校、电视大学等从事教育所用的房屋。</w:t>
      </w:r>
    </w:p>
    <w:p>
      <w:pPr>
        <w:adjustRightInd w:val="0"/>
        <w:snapToGrid w:val="0"/>
        <w:spacing w:line="400" w:lineRule="exact"/>
        <w:ind w:firstLine="560" w:firstLineChars="200"/>
        <w:jc w:val="left"/>
        <w:rPr>
          <w:color w:val="auto"/>
          <w:kern w:val="0"/>
          <w:sz w:val="28"/>
          <w:szCs w:val="18"/>
        </w:rPr>
      </w:pPr>
      <w:r>
        <w:rPr>
          <w:color w:val="auto"/>
          <w:kern w:val="0"/>
          <w:sz w:val="28"/>
          <w:szCs w:val="18"/>
        </w:rPr>
        <w:t>（8）医疗卫生，注释：指划拨或出让的医疗卫生用地上的各类医院、门诊部、卫生所(站)、检(防)疫站、保健院(站)、疗养院、康复中心、血库、医学化验、药品检验等医疗卫生机构从事医疗、保健、防疫、检验所用的房屋。</w:t>
      </w:r>
    </w:p>
    <w:p>
      <w:pPr>
        <w:adjustRightInd w:val="0"/>
        <w:snapToGrid w:val="0"/>
        <w:spacing w:line="400" w:lineRule="exact"/>
        <w:ind w:firstLine="560" w:firstLineChars="200"/>
        <w:jc w:val="left"/>
        <w:rPr>
          <w:color w:val="auto"/>
          <w:kern w:val="0"/>
          <w:sz w:val="28"/>
          <w:szCs w:val="18"/>
        </w:rPr>
      </w:pPr>
      <w:r>
        <w:rPr>
          <w:color w:val="auto"/>
          <w:kern w:val="0"/>
          <w:sz w:val="28"/>
          <w:szCs w:val="18"/>
        </w:rPr>
        <w:t>（9）交通设施，注释：指铁路、公路、管道运输、港口和机场等城市对外交通运输和公共交通、货运交通及其附房设施用房。主要包括：1.铁路：指铁路系统从事铁路运输的房屋。2.民航：指民航系统从事民航运输的房屋。3.航运：指航运系统从事水路运输的房屋。4.公交运输：指公路运输、公共交通系统从事客、货运输、装卸、搬运的房屋。</w:t>
      </w:r>
    </w:p>
    <w:p>
      <w:pPr>
        <w:adjustRightInd w:val="0"/>
        <w:snapToGrid w:val="0"/>
        <w:spacing w:line="400" w:lineRule="exact"/>
        <w:ind w:firstLine="560" w:firstLineChars="200"/>
        <w:jc w:val="left"/>
        <w:rPr>
          <w:color w:val="auto"/>
        </w:rPr>
      </w:pPr>
      <w:r>
        <w:rPr>
          <w:color w:val="auto"/>
          <w:kern w:val="0"/>
          <w:sz w:val="28"/>
          <w:szCs w:val="18"/>
        </w:rPr>
        <w:t>（10）其他，不动产证中“规划用途”栏或附记栏中记载的用途。主要包括：1.综合开发小区内的附属用房或配建用房，具体按实际表述填写。2.基于历史原因，不动产证中“规划用途”栏或附记栏中登记的建筑用途未在上述分类中（例如：综合楼等），直接选择“其他“，并详细写明不动产证中“规划用途”栏或附记栏中登记的建筑用途。</w:t>
      </w:r>
    </w:p>
    <w:p>
      <w:pPr>
        <w:adjustRightInd w:val="0"/>
        <w:snapToGrid w:val="0"/>
        <w:spacing w:line="560" w:lineRule="exact"/>
        <w:ind w:firstLine="640" w:firstLineChars="200"/>
        <w:rPr>
          <w:rFonts w:eastAsia="方正仿宋_GBK"/>
          <w:color w:val="auto"/>
        </w:rPr>
        <w:sectPr>
          <w:footerReference r:id="rId3" w:type="default"/>
          <w:pgSz w:w="11906" w:h="16838"/>
          <w:pgMar w:top="2098" w:right="1474" w:bottom="1984" w:left="1587" w:header="851" w:footer="1417" w:gutter="0"/>
          <w:pgNumType w:fmt="numberInDash" w:start="1"/>
          <w:cols w:space="720" w:num="1"/>
          <w:docGrid w:type="lines" w:linePitch="435" w:charSpace="0"/>
        </w:sectPr>
      </w:pPr>
    </w:p>
    <w:p>
      <w:pPr>
        <w:adjustRightInd w:val="0"/>
        <w:snapToGrid w:val="0"/>
        <w:spacing w:line="560" w:lineRule="exact"/>
        <w:rPr>
          <w:rFonts w:hint="eastAsia" w:ascii="黑体" w:hAnsi="黑体" w:eastAsia="黑体" w:cs="黑体"/>
          <w:bCs/>
          <w:color w:val="auto"/>
          <w:kern w:val="0"/>
        </w:rPr>
      </w:pPr>
      <w:r>
        <w:rPr>
          <w:rFonts w:hint="eastAsia" w:ascii="黑体" w:hAnsi="黑体" w:eastAsia="黑体" w:cs="黑体"/>
          <w:bCs/>
          <w:color w:val="auto"/>
          <w:kern w:val="0"/>
        </w:rPr>
        <w:t>附件2</w:t>
      </w:r>
    </w:p>
    <w:p>
      <w:pPr>
        <w:autoSpaceDE w:val="0"/>
        <w:autoSpaceDN w:val="0"/>
        <w:adjustRightInd w:val="0"/>
        <w:spacing w:line="560" w:lineRule="exact"/>
        <w:ind w:right="130"/>
        <w:jc w:val="left"/>
        <w:rPr>
          <w:rFonts w:eastAsia="方正楷体_GBK"/>
          <w:bCs/>
          <w:color w:val="auto"/>
          <w:kern w:val="0"/>
        </w:rPr>
      </w:pPr>
    </w:p>
    <w:p>
      <w:pPr>
        <w:pStyle w:val="11"/>
        <w:spacing w:afterLines="50" w:line="560" w:lineRule="exact"/>
        <w:rPr>
          <w:rFonts w:ascii="Times New Roman" w:eastAsia="宋体"/>
          <w:color w:val="auto"/>
          <w:sz w:val="28"/>
          <w:szCs w:val="32"/>
        </w:rPr>
      </w:pPr>
      <w:r>
        <w:rPr>
          <w:rFonts w:ascii="Times New Roman"/>
          <w:color w:val="auto"/>
          <w:sz w:val="36"/>
        </w:rPr>
        <w:t>________</w:t>
      </w:r>
      <w:r>
        <w:rPr>
          <w:rFonts w:hint="eastAsia" w:ascii="Times New Roman"/>
          <w:color w:val="auto"/>
          <w:sz w:val="36"/>
        </w:rPr>
        <w:t>镇高层建筑排查问题隐患、整治措施、责任单位汇总清单</w:t>
      </w:r>
    </w:p>
    <w:tbl>
      <w:tblPr>
        <w:tblStyle w:val="9"/>
        <w:tblW w:w="14190" w:type="dxa"/>
        <w:jc w:val="center"/>
        <w:tblInd w:w="0" w:type="dxa"/>
        <w:tblLayout w:type="fixed"/>
        <w:tblCellMar>
          <w:top w:w="0" w:type="dxa"/>
          <w:left w:w="108" w:type="dxa"/>
          <w:bottom w:w="0" w:type="dxa"/>
          <w:right w:w="108" w:type="dxa"/>
        </w:tblCellMar>
      </w:tblPr>
      <w:tblGrid>
        <w:gridCol w:w="791"/>
        <w:gridCol w:w="905"/>
        <w:gridCol w:w="1678"/>
        <w:gridCol w:w="1461"/>
        <w:gridCol w:w="2410"/>
        <w:gridCol w:w="1977"/>
        <w:gridCol w:w="1701"/>
        <w:gridCol w:w="1560"/>
        <w:gridCol w:w="1707"/>
      </w:tblGrid>
      <w:tr>
        <w:tblPrEx>
          <w:tblLayout w:type="fixed"/>
          <w:tblCellMar>
            <w:top w:w="0" w:type="dxa"/>
            <w:left w:w="108" w:type="dxa"/>
            <w:bottom w:w="0" w:type="dxa"/>
            <w:right w:w="108" w:type="dxa"/>
          </w:tblCellMar>
        </w:tblPrEx>
        <w:trPr>
          <w:trHeight w:val="285" w:hRule="atLeast"/>
          <w:jc w:val="center"/>
        </w:trPr>
        <w:tc>
          <w:tcPr>
            <w:tcW w:w="79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eastAsia="黑体"/>
                <w:color w:val="auto"/>
                <w:kern w:val="0"/>
                <w:sz w:val="28"/>
                <w:szCs w:val="18"/>
              </w:rPr>
            </w:pPr>
            <w:r>
              <w:rPr>
                <w:rFonts w:eastAsia="黑体"/>
                <w:color w:val="auto"/>
                <w:kern w:val="0"/>
                <w:sz w:val="28"/>
                <w:szCs w:val="18"/>
              </w:rPr>
              <w:t>序号</w:t>
            </w:r>
          </w:p>
        </w:tc>
        <w:tc>
          <w:tcPr>
            <w:tcW w:w="905" w:type="dxa"/>
            <w:tcBorders>
              <w:top w:val="single" w:color="auto" w:sz="4" w:space="0"/>
              <w:left w:val="nil"/>
              <w:bottom w:val="single" w:color="auto" w:sz="4" w:space="0"/>
              <w:right w:val="single" w:color="auto" w:sz="4" w:space="0"/>
            </w:tcBorders>
            <w:vAlign w:val="center"/>
          </w:tcPr>
          <w:p>
            <w:pPr>
              <w:widowControl/>
              <w:jc w:val="center"/>
              <w:rPr>
                <w:rFonts w:eastAsia="黑体"/>
                <w:color w:val="auto"/>
                <w:kern w:val="0"/>
                <w:sz w:val="28"/>
                <w:szCs w:val="18"/>
              </w:rPr>
            </w:pPr>
            <w:r>
              <w:rPr>
                <w:rFonts w:eastAsia="黑体"/>
                <w:color w:val="auto"/>
                <w:kern w:val="0"/>
                <w:sz w:val="28"/>
                <w:szCs w:val="18"/>
              </w:rPr>
              <w:t>建筑分类</w:t>
            </w:r>
          </w:p>
        </w:tc>
        <w:tc>
          <w:tcPr>
            <w:tcW w:w="1678" w:type="dxa"/>
            <w:tcBorders>
              <w:top w:val="single" w:color="auto" w:sz="4" w:space="0"/>
              <w:left w:val="nil"/>
              <w:bottom w:val="single" w:color="auto" w:sz="4" w:space="0"/>
              <w:right w:val="single" w:color="auto" w:sz="4" w:space="0"/>
            </w:tcBorders>
            <w:vAlign w:val="center"/>
          </w:tcPr>
          <w:p>
            <w:pPr>
              <w:widowControl/>
              <w:jc w:val="center"/>
              <w:rPr>
                <w:rFonts w:eastAsia="黑体"/>
                <w:color w:val="auto"/>
                <w:kern w:val="0"/>
                <w:sz w:val="28"/>
                <w:szCs w:val="18"/>
              </w:rPr>
            </w:pPr>
            <w:r>
              <w:rPr>
                <w:rFonts w:eastAsia="黑体"/>
                <w:color w:val="auto"/>
                <w:kern w:val="0"/>
                <w:sz w:val="28"/>
                <w:szCs w:val="18"/>
              </w:rPr>
              <w:t>建筑物</w:t>
            </w:r>
          </w:p>
          <w:p>
            <w:pPr>
              <w:widowControl/>
              <w:jc w:val="center"/>
              <w:rPr>
                <w:rFonts w:eastAsia="黑体"/>
                <w:color w:val="auto"/>
                <w:kern w:val="0"/>
                <w:sz w:val="28"/>
                <w:szCs w:val="18"/>
              </w:rPr>
            </w:pPr>
            <w:r>
              <w:rPr>
                <w:rFonts w:eastAsia="黑体"/>
                <w:color w:val="auto"/>
                <w:kern w:val="0"/>
                <w:sz w:val="28"/>
                <w:szCs w:val="18"/>
              </w:rPr>
              <w:t>名称</w:t>
            </w:r>
          </w:p>
        </w:tc>
        <w:tc>
          <w:tcPr>
            <w:tcW w:w="1461"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color w:val="auto"/>
                <w:kern w:val="0"/>
                <w:sz w:val="28"/>
                <w:szCs w:val="18"/>
              </w:rPr>
            </w:pPr>
            <w:r>
              <w:rPr>
                <w:rFonts w:eastAsia="黑体"/>
                <w:color w:val="auto"/>
                <w:kern w:val="0"/>
                <w:sz w:val="28"/>
                <w:szCs w:val="18"/>
              </w:rPr>
              <w:t>责任单位</w:t>
            </w:r>
          </w:p>
        </w:tc>
        <w:tc>
          <w:tcPr>
            <w:tcW w:w="2410"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color w:val="auto"/>
                <w:kern w:val="0"/>
                <w:sz w:val="28"/>
                <w:szCs w:val="18"/>
              </w:rPr>
            </w:pPr>
            <w:r>
              <w:rPr>
                <w:rFonts w:eastAsia="黑体"/>
                <w:color w:val="auto"/>
                <w:kern w:val="0"/>
                <w:sz w:val="28"/>
                <w:szCs w:val="18"/>
              </w:rPr>
              <w:t>建筑物地址</w:t>
            </w:r>
          </w:p>
        </w:tc>
        <w:tc>
          <w:tcPr>
            <w:tcW w:w="1977" w:type="dxa"/>
            <w:tcBorders>
              <w:top w:val="single" w:color="auto" w:sz="4" w:space="0"/>
              <w:left w:val="nil"/>
              <w:bottom w:val="single" w:color="auto" w:sz="4" w:space="0"/>
              <w:right w:val="single" w:color="auto" w:sz="4" w:space="0"/>
            </w:tcBorders>
            <w:vAlign w:val="center"/>
          </w:tcPr>
          <w:p>
            <w:pPr>
              <w:widowControl/>
              <w:jc w:val="center"/>
              <w:rPr>
                <w:rFonts w:eastAsia="黑体"/>
                <w:color w:val="auto"/>
                <w:kern w:val="0"/>
                <w:sz w:val="28"/>
                <w:szCs w:val="18"/>
              </w:rPr>
            </w:pPr>
            <w:r>
              <w:rPr>
                <w:rFonts w:eastAsia="黑体"/>
                <w:color w:val="auto"/>
                <w:kern w:val="0"/>
                <w:sz w:val="28"/>
                <w:szCs w:val="18"/>
              </w:rPr>
              <w:t>主要问题</w:t>
            </w:r>
          </w:p>
          <w:p>
            <w:pPr>
              <w:widowControl/>
              <w:jc w:val="center"/>
              <w:rPr>
                <w:rFonts w:eastAsia="黑体"/>
                <w:color w:val="auto"/>
                <w:kern w:val="0"/>
                <w:sz w:val="28"/>
                <w:szCs w:val="18"/>
              </w:rPr>
            </w:pPr>
            <w:r>
              <w:rPr>
                <w:rFonts w:eastAsia="黑体"/>
                <w:color w:val="auto"/>
                <w:kern w:val="0"/>
                <w:sz w:val="28"/>
                <w:szCs w:val="18"/>
              </w:rPr>
              <w:t>隐患描述</w:t>
            </w:r>
          </w:p>
        </w:tc>
        <w:tc>
          <w:tcPr>
            <w:tcW w:w="1701"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color w:val="auto"/>
                <w:kern w:val="0"/>
                <w:sz w:val="28"/>
                <w:szCs w:val="18"/>
              </w:rPr>
            </w:pPr>
            <w:r>
              <w:rPr>
                <w:rFonts w:eastAsia="黑体"/>
                <w:color w:val="auto"/>
                <w:kern w:val="0"/>
                <w:sz w:val="28"/>
                <w:szCs w:val="18"/>
              </w:rPr>
              <w:t>整改措施</w:t>
            </w:r>
          </w:p>
        </w:tc>
        <w:tc>
          <w:tcPr>
            <w:tcW w:w="1560"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color w:val="auto"/>
                <w:kern w:val="0"/>
                <w:sz w:val="28"/>
                <w:szCs w:val="18"/>
              </w:rPr>
            </w:pPr>
            <w:r>
              <w:rPr>
                <w:rFonts w:eastAsia="黑体"/>
                <w:color w:val="auto"/>
                <w:kern w:val="0"/>
                <w:sz w:val="28"/>
                <w:szCs w:val="18"/>
              </w:rPr>
              <w:t>责任单位</w:t>
            </w:r>
          </w:p>
        </w:tc>
        <w:tc>
          <w:tcPr>
            <w:tcW w:w="1707"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color w:val="auto"/>
                <w:kern w:val="0"/>
                <w:sz w:val="28"/>
                <w:szCs w:val="18"/>
              </w:rPr>
            </w:pPr>
            <w:r>
              <w:rPr>
                <w:rFonts w:eastAsia="黑体"/>
                <w:color w:val="auto"/>
                <w:kern w:val="0"/>
                <w:sz w:val="28"/>
                <w:szCs w:val="18"/>
              </w:rPr>
              <w:t>整改期限</w:t>
            </w: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r>
              <w:rPr>
                <w:rFonts w:eastAsia="方正仿宋_GBK"/>
                <w:color w:val="auto"/>
                <w:kern w:val="0"/>
                <w:sz w:val="28"/>
                <w:szCs w:val="18"/>
              </w:rPr>
              <w:t>1</w:t>
            </w: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r>
              <w:rPr>
                <w:rFonts w:eastAsia="方正仿宋_GBK"/>
                <w:color w:val="auto"/>
                <w:kern w:val="0"/>
                <w:sz w:val="28"/>
                <w:szCs w:val="18"/>
              </w:rPr>
              <w:t>**</w:t>
            </w: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r>
              <w:rPr>
                <w:rFonts w:eastAsia="方正仿宋_GBK"/>
                <w:color w:val="auto"/>
                <w:kern w:val="0"/>
                <w:sz w:val="28"/>
                <w:szCs w:val="18"/>
              </w:rPr>
              <w:t>*镇*路*弄*号</w:t>
            </w: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r>
              <w:rPr>
                <w:rFonts w:eastAsia="方正仿宋_GBK"/>
                <w:color w:val="auto"/>
                <w:kern w:val="0"/>
                <w:sz w:val="28"/>
                <w:szCs w:val="18"/>
              </w:rPr>
              <w:t>2</w:t>
            </w: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r>
              <w:rPr>
                <w:rFonts w:eastAsia="方正仿宋_GBK"/>
                <w:color w:val="auto"/>
                <w:kern w:val="0"/>
                <w:sz w:val="28"/>
                <w:szCs w:val="18"/>
              </w:rPr>
              <w:t>**</w:t>
            </w: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r>
      <w:tr>
        <w:tblPrEx>
          <w:tblLayout w:type="fixed"/>
          <w:tblCellMar>
            <w:top w:w="0" w:type="dxa"/>
            <w:left w:w="108" w:type="dxa"/>
            <w:bottom w:w="0" w:type="dxa"/>
            <w:right w:w="108" w:type="dxa"/>
          </w:tblCellMar>
        </w:tblPrEx>
        <w:trPr>
          <w:trHeight w:val="285" w:hRule="atLeast"/>
          <w:jc w:val="center"/>
        </w:trPr>
        <w:tc>
          <w:tcPr>
            <w:tcW w:w="791" w:type="dxa"/>
            <w:tcBorders>
              <w:top w:val="nil"/>
              <w:left w:val="single" w:color="auto" w:sz="4" w:space="0"/>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905"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678"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46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2410"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977"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701" w:type="dxa"/>
            <w:tcBorders>
              <w:top w:val="nil"/>
              <w:left w:val="nil"/>
              <w:bottom w:val="single" w:color="auto" w:sz="4" w:space="0"/>
              <w:right w:val="single" w:color="auto" w:sz="4" w:space="0"/>
            </w:tcBorders>
            <w:vAlign w:val="center"/>
          </w:tcPr>
          <w:p>
            <w:pPr>
              <w:widowControl/>
              <w:spacing w:line="560" w:lineRule="exact"/>
              <w:jc w:val="center"/>
              <w:rPr>
                <w:color w:val="auto"/>
                <w:kern w:val="0"/>
                <w:sz w:val="28"/>
                <w:szCs w:val="18"/>
              </w:rPr>
            </w:pPr>
          </w:p>
        </w:tc>
        <w:tc>
          <w:tcPr>
            <w:tcW w:w="1560" w:type="dxa"/>
            <w:tcBorders>
              <w:top w:val="nil"/>
              <w:left w:val="nil"/>
              <w:bottom w:val="single" w:color="auto" w:sz="4" w:space="0"/>
              <w:right w:val="single" w:color="auto" w:sz="4" w:space="0"/>
            </w:tcBorders>
          </w:tcPr>
          <w:p>
            <w:pPr>
              <w:widowControl/>
              <w:spacing w:line="560" w:lineRule="exact"/>
              <w:jc w:val="center"/>
              <w:rPr>
                <w:color w:val="auto"/>
                <w:kern w:val="0"/>
                <w:sz w:val="28"/>
                <w:szCs w:val="18"/>
              </w:rPr>
            </w:pPr>
          </w:p>
        </w:tc>
        <w:tc>
          <w:tcPr>
            <w:tcW w:w="1707" w:type="dxa"/>
            <w:tcBorders>
              <w:top w:val="nil"/>
              <w:left w:val="nil"/>
              <w:bottom w:val="single" w:color="auto" w:sz="4" w:space="0"/>
              <w:right w:val="single" w:color="auto" w:sz="4" w:space="0"/>
            </w:tcBorders>
          </w:tcPr>
          <w:p>
            <w:pPr>
              <w:widowControl/>
              <w:spacing w:line="560" w:lineRule="exact"/>
              <w:jc w:val="center"/>
              <w:rPr>
                <w:rFonts w:eastAsia="方正仿宋_GBK"/>
                <w:color w:val="auto"/>
                <w:kern w:val="0"/>
                <w:sz w:val="28"/>
                <w:szCs w:val="18"/>
              </w:rPr>
            </w:pPr>
          </w:p>
        </w:tc>
      </w:tr>
    </w:tbl>
    <w:p>
      <w:pPr>
        <w:spacing w:line="560" w:lineRule="exact"/>
        <w:ind w:firstLine="560" w:firstLineChars="200"/>
        <w:jc w:val="left"/>
        <w:rPr>
          <w:color w:val="auto"/>
          <w:sz w:val="28"/>
        </w:rPr>
      </w:pPr>
      <w:r>
        <w:rPr>
          <w:color w:val="auto"/>
          <w:sz w:val="28"/>
        </w:rPr>
        <w:t>注：建筑分类：高层公共建筑</w:t>
      </w:r>
      <w:r>
        <w:rPr>
          <w:rFonts w:hint="eastAsia"/>
          <w:color w:val="auto"/>
          <w:sz w:val="28"/>
        </w:rPr>
        <w:t>、</w:t>
      </w:r>
      <w:r>
        <w:rPr>
          <w:color w:val="auto"/>
          <w:sz w:val="28"/>
        </w:rPr>
        <w:t>老旧高层商住混合体。</w:t>
      </w:r>
    </w:p>
    <w:p>
      <w:pPr>
        <w:spacing w:line="560" w:lineRule="exact"/>
        <w:ind w:firstLine="560" w:firstLineChars="200"/>
        <w:jc w:val="left"/>
        <w:rPr>
          <w:color w:val="auto"/>
          <w:sz w:val="28"/>
        </w:rPr>
      </w:pPr>
    </w:p>
    <w:p>
      <w:pPr>
        <w:spacing w:line="560" w:lineRule="exact"/>
        <w:jc w:val="left"/>
        <w:rPr>
          <w:rFonts w:hint="eastAsia" w:ascii="黑体" w:hAnsi="黑体" w:eastAsia="黑体" w:cs="黑体"/>
          <w:bCs/>
          <w:color w:val="auto"/>
          <w:kern w:val="0"/>
        </w:rPr>
      </w:pPr>
      <w:r>
        <w:rPr>
          <w:rFonts w:hint="eastAsia" w:ascii="黑体" w:hAnsi="黑体" w:eastAsia="黑体" w:cs="黑体"/>
          <w:bCs/>
          <w:color w:val="auto"/>
          <w:kern w:val="0"/>
        </w:rPr>
        <w:t>附件3</w:t>
      </w:r>
    </w:p>
    <w:p>
      <w:pPr>
        <w:spacing w:line="560" w:lineRule="exact"/>
        <w:ind w:firstLine="640" w:firstLineChars="200"/>
        <w:jc w:val="left"/>
        <w:rPr>
          <w:rFonts w:eastAsia="方正黑体_GBK"/>
          <w:bCs/>
          <w:color w:val="auto"/>
          <w:kern w:val="0"/>
        </w:rPr>
      </w:pPr>
      <w:r>
        <w:rPr>
          <w:rFonts w:hint="eastAsia" w:eastAsia="方正黑体_GBK"/>
          <w:bCs/>
          <w:color w:val="auto"/>
          <w:kern w:val="0"/>
        </w:rPr>
        <w:t xml:space="preserve">                           </w:t>
      </w:r>
      <w:r>
        <w:rPr>
          <w:rFonts w:hint="eastAsia" w:eastAsia="方正小标宋简体"/>
          <w:color w:val="auto"/>
          <w:sz w:val="36"/>
          <w:szCs w:val="44"/>
        </w:rPr>
        <w:t>分管领导和联络员信息表</w:t>
      </w:r>
    </w:p>
    <w:p>
      <w:pPr>
        <w:spacing w:line="560" w:lineRule="exact"/>
        <w:ind w:firstLine="640" w:firstLineChars="200"/>
        <w:jc w:val="left"/>
        <w:rPr>
          <w:rFonts w:eastAsia="方正黑体_GBK"/>
          <w:bCs/>
          <w:color w:val="auto"/>
          <w:kern w:val="0"/>
        </w:rPr>
      </w:pPr>
    </w:p>
    <w:tbl>
      <w:tblPr>
        <w:tblStyle w:val="10"/>
        <w:tblW w:w="14174"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834"/>
        <w:gridCol w:w="2835"/>
        <w:gridCol w:w="2835"/>
        <w:gridCol w:w="2835"/>
        <w:gridCol w:w="283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34" w:type="dxa"/>
            <w:vAlign w:val="center"/>
          </w:tcPr>
          <w:p>
            <w:pPr>
              <w:spacing w:line="560" w:lineRule="exact"/>
              <w:jc w:val="center"/>
              <w:rPr>
                <w:rFonts w:eastAsia="方正小标宋简体"/>
                <w:bCs/>
                <w:color w:val="auto"/>
                <w:kern w:val="0"/>
                <w:sz w:val="28"/>
                <w:szCs w:val="36"/>
              </w:rPr>
            </w:pPr>
            <w:r>
              <w:rPr>
                <w:rFonts w:hint="eastAsia" w:eastAsia="方正小标宋简体"/>
                <w:bCs/>
                <w:color w:val="auto"/>
                <w:kern w:val="0"/>
                <w:sz w:val="28"/>
                <w:szCs w:val="36"/>
              </w:rPr>
              <w:t>单位</w:t>
            </w:r>
          </w:p>
        </w:tc>
        <w:tc>
          <w:tcPr>
            <w:tcW w:w="2835" w:type="dxa"/>
            <w:vAlign w:val="center"/>
          </w:tcPr>
          <w:p>
            <w:pPr>
              <w:spacing w:line="560" w:lineRule="exact"/>
              <w:jc w:val="center"/>
              <w:rPr>
                <w:rFonts w:eastAsia="方正小标宋简体"/>
                <w:bCs/>
                <w:color w:val="auto"/>
                <w:kern w:val="0"/>
                <w:sz w:val="28"/>
                <w:szCs w:val="36"/>
              </w:rPr>
            </w:pPr>
            <w:r>
              <w:rPr>
                <w:rFonts w:hint="eastAsia" w:eastAsia="方正小标宋简体"/>
                <w:bCs/>
                <w:color w:val="auto"/>
                <w:kern w:val="0"/>
                <w:sz w:val="28"/>
                <w:szCs w:val="36"/>
              </w:rPr>
              <w:t>姓名</w:t>
            </w:r>
          </w:p>
        </w:tc>
        <w:tc>
          <w:tcPr>
            <w:tcW w:w="2835" w:type="dxa"/>
            <w:vAlign w:val="center"/>
          </w:tcPr>
          <w:p>
            <w:pPr>
              <w:spacing w:line="560" w:lineRule="exact"/>
              <w:jc w:val="center"/>
              <w:rPr>
                <w:rFonts w:eastAsia="方正小标宋简体"/>
                <w:bCs/>
                <w:color w:val="auto"/>
                <w:kern w:val="0"/>
                <w:sz w:val="28"/>
                <w:szCs w:val="36"/>
              </w:rPr>
            </w:pPr>
            <w:r>
              <w:rPr>
                <w:rFonts w:hint="eastAsia" w:eastAsia="方正小标宋简体"/>
                <w:bCs/>
                <w:color w:val="auto"/>
                <w:kern w:val="0"/>
                <w:sz w:val="28"/>
                <w:szCs w:val="36"/>
              </w:rPr>
              <w:t>职务</w:t>
            </w:r>
          </w:p>
        </w:tc>
        <w:tc>
          <w:tcPr>
            <w:tcW w:w="2835" w:type="dxa"/>
            <w:vAlign w:val="center"/>
          </w:tcPr>
          <w:p>
            <w:pPr>
              <w:spacing w:line="560" w:lineRule="exact"/>
              <w:jc w:val="center"/>
              <w:rPr>
                <w:rFonts w:eastAsia="方正小标宋简体"/>
                <w:bCs/>
                <w:color w:val="auto"/>
                <w:kern w:val="0"/>
                <w:sz w:val="28"/>
                <w:szCs w:val="36"/>
              </w:rPr>
            </w:pPr>
            <w:r>
              <w:rPr>
                <w:rFonts w:hint="eastAsia" w:eastAsia="方正小标宋简体"/>
                <w:bCs/>
                <w:color w:val="auto"/>
                <w:kern w:val="0"/>
                <w:sz w:val="28"/>
                <w:szCs w:val="36"/>
              </w:rPr>
              <w:t>座机</w:t>
            </w:r>
          </w:p>
        </w:tc>
        <w:tc>
          <w:tcPr>
            <w:tcW w:w="2835" w:type="dxa"/>
            <w:vAlign w:val="center"/>
          </w:tcPr>
          <w:p>
            <w:pPr>
              <w:spacing w:line="560" w:lineRule="exact"/>
              <w:jc w:val="center"/>
              <w:rPr>
                <w:rFonts w:eastAsia="方正小标宋简体"/>
                <w:bCs/>
                <w:color w:val="auto"/>
                <w:kern w:val="0"/>
                <w:sz w:val="28"/>
                <w:szCs w:val="36"/>
              </w:rPr>
            </w:pPr>
            <w:r>
              <w:rPr>
                <w:rFonts w:hint="eastAsia" w:eastAsia="方正小标宋简体"/>
                <w:bCs/>
                <w:color w:val="auto"/>
                <w:kern w:val="0"/>
                <w:sz w:val="28"/>
                <w:szCs w:val="36"/>
              </w:rPr>
              <w:t>手机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34"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34"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c>
          <w:tcPr>
            <w:tcW w:w="2835" w:type="dxa"/>
            <w:vAlign w:val="center"/>
          </w:tcPr>
          <w:p>
            <w:pPr>
              <w:spacing w:line="560" w:lineRule="exact"/>
              <w:jc w:val="center"/>
              <w:rPr>
                <w:rFonts w:eastAsia="方正小标宋简体"/>
                <w:bCs/>
                <w:color w:val="auto"/>
                <w:kern w:val="0"/>
                <w:sz w:val="28"/>
                <w:szCs w:val="36"/>
              </w:rPr>
            </w:pPr>
          </w:p>
        </w:tc>
      </w:tr>
    </w:tbl>
    <w:p>
      <w:pPr>
        <w:spacing w:line="560" w:lineRule="exact"/>
        <w:ind w:firstLine="560" w:firstLineChars="200"/>
        <w:jc w:val="left"/>
        <w:rPr>
          <w:rFonts w:eastAsia="方正小标宋简体"/>
          <w:bCs/>
          <w:color w:val="auto"/>
          <w:kern w:val="0"/>
          <w:sz w:val="28"/>
          <w:szCs w:val="36"/>
        </w:rPr>
      </w:pPr>
    </w:p>
    <w:sectPr>
      <w:pgSz w:w="16838" w:h="11906" w:orient="landscape"/>
      <w:pgMar w:top="1800" w:right="1440" w:bottom="1800" w:left="1440" w:header="851" w:footer="992" w:gutter="0"/>
      <w:pgNumType w:fmt="numberInDash"/>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altName w:val="微软雅黑"/>
    <w:panose1 w:val="00000000000000000000"/>
    <w:charset w:val="86"/>
    <w:family w:val="auto"/>
    <w:pitch w:val="default"/>
    <w:sig w:usb0="00000000" w:usb1="00000000" w:usb2="00082016" w:usb3="00000000" w:csb0="00040001" w:csb1="00000000"/>
  </w:font>
  <w:font w:name="楷体_GB2312">
    <w:panose1 w:val="02010609030101010101"/>
    <w:charset w:val="86"/>
    <w:family w:val="modern"/>
    <w:pitch w:val="default"/>
    <w:sig w:usb0="00000001" w:usb1="080E0000" w:usb2="00000000" w:usb3="00000000" w:csb0="00040000" w:csb1="00000000"/>
  </w:font>
  <w:font w:name="方正仿宋_GBK">
    <w:altName w:val="微软雅黑"/>
    <w:panose1 w:val="00000000000000000000"/>
    <w:charset w:val="86"/>
    <w:family w:val="auto"/>
    <w:pitch w:val="default"/>
    <w:sig w:usb0="00000000" w:usb1="00000000" w:usb2="00082016" w:usb3="00000000" w:csb0="00040001" w:csb1="00000000"/>
  </w:font>
  <w:font w:name="方正小标宋_GBK">
    <w:altName w:val="微软雅黑"/>
    <w:panose1 w:val="00000000000000000000"/>
    <w:charset w:val="86"/>
    <w:family w:val="auto"/>
    <w:pitch w:val="default"/>
    <w:sig w:usb0="00000000" w:usb1="00000000" w:usb2="00082016" w:usb3="00000000" w:csb0="00040001" w:csb1="00000000"/>
  </w:font>
  <w:font w:name="方正楷体_GBK">
    <w:altName w:val="微软雅黑"/>
    <w:panose1 w:val="00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- 3 -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- 3 -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E65"/>
    <w:rsid w:val="00010FE7"/>
    <w:rsid w:val="00025E72"/>
    <w:rsid w:val="00044CD3"/>
    <w:rsid w:val="00083972"/>
    <w:rsid w:val="00091B17"/>
    <w:rsid w:val="000A51E8"/>
    <w:rsid w:val="000F603C"/>
    <w:rsid w:val="00101D8C"/>
    <w:rsid w:val="00103AA9"/>
    <w:rsid w:val="001057B7"/>
    <w:rsid w:val="00111984"/>
    <w:rsid w:val="0013051C"/>
    <w:rsid w:val="0013774B"/>
    <w:rsid w:val="00153275"/>
    <w:rsid w:val="001677E1"/>
    <w:rsid w:val="001749DE"/>
    <w:rsid w:val="00177574"/>
    <w:rsid w:val="001D0B83"/>
    <w:rsid w:val="001D7BD3"/>
    <w:rsid w:val="00244434"/>
    <w:rsid w:val="0025513F"/>
    <w:rsid w:val="00265A8D"/>
    <w:rsid w:val="00297934"/>
    <w:rsid w:val="002A67F6"/>
    <w:rsid w:val="002B00D1"/>
    <w:rsid w:val="002B5EED"/>
    <w:rsid w:val="002C1027"/>
    <w:rsid w:val="002D398E"/>
    <w:rsid w:val="002E679C"/>
    <w:rsid w:val="00302D30"/>
    <w:rsid w:val="00314113"/>
    <w:rsid w:val="00314991"/>
    <w:rsid w:val="00317E10"/>
    <w:rsid w:val="0033093B"/>
    <w:rsid w:val="00341FF0"/>
    <w:rsid w:val="00351171"/>
    <w:rsid w:val="00356DB7"/>
    <w:rsid w:val="00374F97"/>
    <w:rsid w:val="00383E1B"/>
    <w:rsid w:val="003923AF"/>
    <w:rsid w:val="003A7A1D"/>
    <w:rsid w:val="003C0E65"/>
    <w:rsid w:val="003C178B"/>
    <w:rsid w:val="003F1EBE"/>
    <w:rsid w:val="003F45B2"/>
    <w:rsid w:val="00451CE5"/>
    <w:rsid w:val="004901C4"/>
    <w:rsid w:val="00490E5B"/>
    <w:rsid w:val="00497DD5"/>
    <w:rsid w:val="004B23D2"/>
    <w:rsid w:val="004B7F0F"/>
    <w:rsid w:val="004C54C7"/>
    <w:rsid w:val="004D220C"/>
    <w:rsid w:val="004F11F3"/>
    <w:rsid w:val="0050648E"/>
    <w:rsid w:val="00506913"/>
    <w:rsid w:val="00521642"/>
    <w:rsid w:val="005410D8"/>
    <w:rsid w:val="00577F18"/>
    <w:rsid w:val="005A3819"/>
    <w:rsid w:val="005E233A"/>
    <w:rsid w:val="005F7CD9"/>
    <w:rsid w:val="00617308"/>
    <w:rsid w:val="00622BD4"/>
    <w:rsid w:val="00625468"/>
    <w:rsid w:val="00636303"/>
    <w:rsid w:val="00641968"/>
    <w:rsid w:val="0064312E"/>
    <w:rsid w:val="00646899"/>
    <w:rsid w:val="00651C70"/>
    <w:rsid w:val="00651FB0"/>
    <w:rsid w:val="0066367B"/>
    <w:rsid w:val="00665E9D"/>
    <w:rsid w:val="00680DA5"/>
    <w:rsid w:val="006821DA"/>
    <w:rsid w:val="006918D8"/>
    <w:rsid w:val="00695ED8"/>
    <w:rsid w:val="006B225B"/>
    <w:rsid w:val="006B4C08"/>
    <w:rsid w:val="006C0A66"/>
    <w:rsid w:val="006D543A"/>
    <w:rsid w:val="006E28C1"/>
    <w:rsid w:val="006F097B"/>
    <w:rsid w:val="0071019B"/>
    <w:rsid w:val="007747A1"/>
    <w:rsid w:val="00790A3A"/>
    <w:rsid w:val="007D0D61"/>
    <w:rsid w:val="007D4D44"/>
    <w:rsid w:val="007E0FFE"/>
    <w:rsid w:val="00864735"/>
    <w:rsid w:val="00867390"/>
    <w:rsid w:val="00883371"/>
    <w:rsid w:val="008A0F89"/>
    <w:rsid w:val="008A133B"/>
    <w:rsid w:val="008A3A9B"/>
    <w:rsid w:val="008C08C2"/>
    <w:rsid w:val="008C2BC6"/>
    <w:rsid w:val="00917611"/>
    <w:rsid w:val="00917E01"/>
    <w:rsid w:val="00920E68"/>
    <w:rsid w:val="00932128"/>
    <w:rsid w:val="009504A8"/>
    <w:rsid w:val="009931E6"/>
    <w:rsid w:val="009942BF"/>
    <w:rsid w:val="009B20C8"/>
    <w:rsid w:val="009C08D4"/>
    <w:rsid w:val="009C7281"/>
    <w:rsid w:val="009D5B30"/>
    <w:rsid w:val="009E04AE"/>
    <w:rsid w:val="009E0BBC"/>
    <w:rsid w:val="009F54B2"/>
    <w:rsid w:val="00A33050"/>
    <w:rsid w:val="00A54C91"/>
    <w:rsid w:val="00A62E57"/>
    <w:rsid w:val="00A7079F"/>
    <w:rsid w:val="00A76B0D"/>
    <w:rsid w:val="00AA2D4D"/>
    <w:rsid w:val="00AA69EB"/>
    <w:rsid w:val="00AB4536"/>
    <w:rsid w:val="00AD62B4"/>
    <w:rsid w:val="00AE575A"/>
    <w:rsid w:val="00B12EDC"/>
    <w:rsid w:val="00B340C6"/>
    <w:rsid w:val="00BA0327"/>
    <w:rsid w:val="00BF153D"/>
    <w:rsid w:val="00C06D3B"/>
    <w:rsid w:val="00C117EC"/>
    <w:rsid w:val="00C32420"/>
    <w:rsid w:val="00C61DB4"/>
    <w:rsid w:val="00C67B8A"/>
    <w:rsid w:val="00C72172"/>
    <w:rsid w:val="00C9493D"/>
    <w:rsid w:val="00CA2D44"/>
    <w:rsid w:val="00CA61F6"/>
    <w:rsid w:val="00CA7DDC"/>
    <w:rsid w:val="00CB3C1D"/>
    <w:rsid w:val="00CB4BBA"/>
    <w:rsid w:val="00CC505D"/>
    <w:rsid w:val="00CD160C"/>
    <w:rsid w:val="00CE7E7C"/>
    <w:rsid w:val="00D1222D"/>
    <w:rsid w:val="00D25E93"/>
    <w:rsid w:val="00D43E37"/>
    <w:rsid w:val="00D541D6"/>
    <w:rsid w:val="00D742B0"/>
    <w:rsid w:val="00D7787E"/>
    <w:rsid w:val="00D97239"/>
    <w:rsid w:val="00DB7189"/>
    <w:rsid w:val="00DC6D0A"/>
    <w:rsid w:val="00DD1132"/>
    <w:rsid w:val="00DE3046"/>
    <w:rsid w:val="00DF3DEC"/>
    <w:rsid w:val="00E11C5E"/>
    <w:rsid w:val="00E1603A"/>
    <w:rsid w:val="00E327B1"/>
    <w:rsid w:val="00E34318"/>
    <w:rsid w:val="00E35690"/>
    <w:rsid w:val="00E36085"/>
    <w:rsid w:val="00E37EBE"/>
    <w:rsid w:val="00E37EE4"/>
    <w:rsid w:val="00E40CC8"/>
    <w:rsid w:val="00E477E0"/>
    <w:rsid w:val="00E5107B"/>
    <w:rsid w:val="00E61FF2"/>
    <w:rsid w:val="00E656D0"/>
    <w:rsid w:val="00E97FD2"/>
    <w:rsid w:val="00EB198E"/>
    <w:rsid w:val="00EB35ED"/>
    <w:rsid w:val="00F25123"/>
    <w:rsid w:val="00F30379"/>
    <w:rsid w:val="00F332EA"/>
    <w:rsid w:val="00F337C7"/>
    <w:rsid w:val="00F34EAF"/>
    <w:rsid w:val="00F511D1"/>
    <w:rsid w:val="00F62FD8"/>
    <w:rsid w:val="00FA4A49"/>
    <w:rsid w:val="00FB4AF2"/>
    <w:rsid w:val="00FD7048"/>
    <w:rsid w:val="00FE3B3F"/>
    <w:rsid w:val="00FE6A47"/>
    <w:rsid w:val="039B2DC0"/>
    <w:rsid w:val="2F3B06A6"/>
    <w:rsid w:val="60A01664"/>
    <w:rsid w:val="69156BA5"/>
    <w:rsid w:val="6DB92D01"/>
    <w:rsid w:val="6FAE0C24"/>
    <w:rsid w:val="761B17C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color w:val="000000"/>
      <w:kern w:val="2"/>
      <w:sz w:val="32"/>
      <w:szCs w:val="32"/>
      <w:lang w:val="en-US" w:eastAsia="zh-CN" w:bidi="ar-SA"/>
    </w:rPr>
  </w:style>
  <w:style w:type="character" w:default="1" w:styleId="7">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Date"/>
    <w:basedOn w:val="1"/>
    <w:next w:val="1"/>
    <w:qFormat/>
    <w:uiPriority w:val="0"/>
    <w:rPr>
      <w:rFonts w:ascii="仿宋_GB2312" w:eastAsia="仿宋_GB2312"/>
      <w:sz w:val="28"/>
      <w:szCs w:val="20"/>
    </w:rPr>
  </w:style>
  <w:style w:type="paragraph" w:styleId="4">
    <w:name w:val="Balloon Text"/>
    <w:basedOn w:val="1"/>
    <w:link w:val="14"/>
    <w:semiHidden/>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rFonts w:ascii="Calibri" w:hAnsi="Calibri" w:eastAsia="宋体"/>
      <w:color w:val="auto"/>
      <w:sz w:val="18"/>
      <w:szCs w:val="18"/>
    </w:rPr>
  </w:style>
  <w:style w:type="paragraph" w:styleId="6">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qFormat/>
    <w:uiPriority w:val="0"/>
  </w:style>
  <w:style w:type="table" w:styleId="10">
    <w:name w:val="Table Grid"/>
    <w:basedOn w:val="9"/>
    <w:unhideWhenUsed/>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paragraph" w:customStyle="1" w:styleId="11">
    <w:name w:val="公文0标题"/>
    <w:basedOn w:val="1"/>
    <w:link w:val="12"/>
    <w:qFormat/>
    <w:uiPriority w:val="0"/>
    <w:pPr>
      <w:adjustRightInd w:val="0"/>
      <w:snapToGrid w:val="0"/>
      <w:spacing w:line="660" w:lineRule="exact"/>
      <w:jc w:val="center"/>
      <w:outlineLvl w:val="0"/>
    </w:pPr>
    <w:rPr>
      <w:rFonts w:ascii="方正小标宋简体" w:eastAsia="方正小标宋简体"/>
      <w:sz w:val="44"/>
      <w:szCs w:val="44"/>
    </w:rPr>
  </w:style>
  <w:style w:type="character" w:customStyle="1" w:styleId="12">
    <w:name w:val="公文0标题 Char"/>
    <w:link w:val="11"/>
    <w:qFormat/>
    <w:uiPriority w:val="0"/>
    <w:rPr>
      <w:rFonts w:ascii="方正小标宋简体" w:hAnsi="Times New Roman" w:eastAsia="方正小标宋简体" w:cs="Times New Roman"/>
      <w:color w:val="000000"/>
      <w:sz w:val="44"/>
      <w:szCs w:val="44"/>
    </w:rPr>
  </w:style>
  <w:style w:type="character" w:customStyle="1" w:styleId="13">
    <w:name w:val="页脚 Char"/>
    <w:basedOn w:val="7"/>
    <w:link w:val="5"/>
    <w:qFormat/>
    <w:uiPriority w:val="99"/>
    <w:rPr>
      <w:rFonts w:ascii="Calibri" w:hAnsi="Calibri" w:eastAsia="宋体" w:cs="Times New Roman"/>
      <w:sz w:val="18"/>
      <w:szCs w:val="18"/>
    </w:rPr>
  </w:style>
  <w:style w:type="character" w:customStyle="1" w:styleId="14">
    <w:name w:val="批注框文本 Char"/>
    <w:basedOn w:val="7"/>
    <w:link w:val="4"/>
    <w:semiHidden/>
    <w:qFormat/>
    <w:uiPriority w:val="99"/>
    <w:rPr>
      <w:rFonts w:ascii="Times New Roman" w:hAnsi="Times New Roman" w:eastAsia="仿宋_GB2312" w:cs="Times New Roman"/>
      <w:color w:val="000000"/>
      <w:sz w:val="18"/>
      <w:szCs w:val="18"/>
    </w:rPr>
  </w:style>
  <w:style w:type="character" w:customStyle="1" w:styleId="15">
    <w:name w:val="页眉 Char"/>
    <w:basedOn w:val="7"/>
    <w:link w:val="6"/>
    <w:semiHidden/>
    <w:qFormat/>
    <w:uiPriority w:val="99"/>
    <w:rPr>
      <w:rFonts w:ascii="Times New Roman" w:hAnsi="Times New Roman" w:eastAsia="仿宋_GB2312" w:cs="Times New Roman"/>
      <w:color w:val="000000"/>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D8C7925-E74B-4901-8FAA-1D903D30850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21</Pages>
  <Words>1796</Words>
  <Characters>10242</Characters>
  <Lines>85</Lines>
  <Paragraphs>24</Paragraphs>
  <TotalTime>2</TotalTime>
  <ScaleCrop>false</ScaleCrop>
  <LinksUpToDate>false</LinksUpToDate>
  <CharactersWithSpaces>12014</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2022-07-29T04:14:00Z</dcterms:created>
  <dc:creator>CFR</dc:creator>
  <cp:lastModifiedBy>Administrator</cp:lastModifiedBy>
  <cp:lastPrinted>2022-09-13T01:20:00Z</cp:lastPrinted>
  <dcterms:modified xsi:type="dcterms:W3CDTF">2022-11-11T07:42:54Z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