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kinsoku/>
        <w:wordWrap/>
        <w:overflowPunct/>
        <w:topLinePunct w:val="0"/>
        <w:autoSpaceDE/>
        <w:autoSpaceDN/>
        <w:bidi w:val="0"/>
        <w:adjustRightInd/>
        <w:snapToGrid/>
        <w:spacing w:beforeAutospacing="0" w:afterAutospacing="0" w:line="540" w:lineRule="exact"/>
        <w:jc w:val="center"/>
        <w:textAlignment w:val="auto"/>
        <w:rPr>
          <w:rFonts w:hint="eastAsia" w:ascii="方正小标宋简体" w:hAnsi="方正小标宋简体" w:eastAsia="方正小标宋简体" w:cs="方正小标宋简体"/>
          <w:b w:val="0"/>
          <w:color w:val="333333"/>
          <w:sz w:val="44"/>
          <w:szCs w:val="44"/>
          <w:shd w:val="clear" w:color="auto" w:fill="auto"/>
          <w:lang w:eastAsia="zh-CN"/>
        </w:rPr>
      </w:pPr>
      <w:r>
        <w:rPr>
          <w:rFonts w:hint="eastAsia" w:ascii="方正小标宋简体" w:hAnsi="方正小标宋简体" w:eastAsia="方正小标宋简体" w:cs="方正小标宋简体"/>
          <w:b w:val="0"/>
          <w:color w:val="333333"/>
          <w:sz w:val="44"/>
          <w:szCs w:val="44"/>
          <w:shd w:val="clear" w:color="auto" w:fill="auto"/>
          <w:lang w:eastAsia="zh-CN"/>
        </w:rPr>
        <w:t>上海市崇明区医疗保障局2022年</w:t>
      </w:r>
    </w:p>
    <w:p>
      <w:pPr>
        <w:pStyle w:val="2"/>
        <w:keepNext w:val="0"/>
        <w:keepLines w:val="0"/>
        <w:pageBreakBefore w:val="0"/>
        <w:widowControl/>
        <w:kinsoku/>
        <w:wordWrap/>
        <w:overflowPunct/>
        <w:topLinePunct w:val="0"/>
        <w:autoSpaceDE/>
        <w:autoSpaceDN/>
        <w:bidi w:val="0"/>
        <w:adjustRightInd/>
        <w:snapToGrid/>
        <w:spacing w:beforeAutospacing="0" w:afterAutospacing="0" w:line="540" w:lineRule="exact"/>
        <w:jc w:val="center"/>
        <w:textAlignment w:val="auto"/>
        <w:rPr>
          <w:rFonts w:hint="eastAsia" w:ascii="方正小标宋简体" w:hAnsi="方正小标宋简体" w:eastAsia="方正小标宋简体" w:cs="方正小标宋简体"/>
          <w:b w:val="0"/>
          <w:color w:val="333333"/>
          <w:sz w:val="44"/>
          <w:szCs w:val="44"/>
          <w:shd w:val="clear" w:color="auto" w:fill="auto"/>
          <w:lang w:eastAsia="zh-CN"/>
        </w:rPr>
      </w:pPr>
      <w:r>
        <w:rPr>
          <w:rFonts w:hint="eastAsia" w:ascii="方正小标宋简体" w:hAnsi="方正小标宋简体" w:eastAsia="方正小标宋简体" w:cs="方正小标宋简体"/>
          <w:b w:val="0"/>
          <w:color w:val="333333"/>
          <w:sz w:val="44"/>
          <w:szCs w:val="44"/>
          <w:shd w:val="clear" w:color="auto" w:fill="auto"/>
          <w:lang w:eastAsia="zh-CN"/>
        </w:rPr>
        <w:t>法治政府建设工作报告</w:t>
      </w:r>
    </w:p>
    <w:p>
      <w:pPr>
        <w:rPr>
          <w:rFonts w:hint="eastAsia"/>
          <w:lang w:eastAsia="zh-CN"/>
        </w:rPr>
      </w:pPr>
    </w:p>
    <w:p>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333333"/>
          <w:sz w:val="32"/>
          <w:szCs w:val="32"/>
          <w:shd w:val="clear" w:color="auto" w:fill="auto"/>
        </w:rPr>
      </w:pPr>
      <w:r>
        <w:rPr>
          <w:rFonts w:hint="eastAsia" w:ascii="仿宋_GB2312" w:hAnsi="仿宋_GB2312" w:eastAsia="仿宋_GB2312" w:cs="仿宋_GB2312"/>
          <w:color w:val="333333"/>
          <w:sz w:val="32"/>
          <w:szCs w:val="32"/>
          <w:shd w:val="clear" w:color="auto" w:fill="auto"/>
          <w:lang w:eastAsia="zh-CN"/>
        </w:rPr>
        <w:t>2022</w:t>
      </w:r>
      <w:r>
        <w:rPr>
          <w:rFonts w:hint="eastAsia" w:ascii="仿宋_GB2312" w:hAnsi="仿宋_GB2312" w:eastAsia="仿宋_GB2312" w:cs="仿宋_GB2312"/>
          <w:color w:val="333333"/>
          <w:sz w:val="32"/>
          <w:szCs w:val="32"/>
          <w:shd w:val="clear" w:color="auto" w:fill="auto"/>
        </w:rPr>
        <w:t>年，在区委、区政府正确领导下，在区</w:t>
      </w:r>
      <w:r>
        <w:rPr>
          <w:rFonts w:hint="eastAsia" w:ascii="仿宋_GB2312" w:hAnsi="仿宋_GB2312" w:eastAsia="仿宋_GB2312" w:cs="仿宋_GB2312"/>
          <w:color w:val="333333"/>
          <w:sz w:val="32"/>
          <w:szCs w:val="32"/>
          <w:shd w:val="clear" w:color="auto" w:fill="auto"/>
          <w:lang w:eastAsia="zh-CN"/>
        </w:rPr>
        <w:t>司法局法治</w:t>
      </w:r>
      <w:r>
        <w:rPr>
          <w:rFonts w:hint="eastAsia" w:ascii="仿宋_GB2312" w:hAnsi="仿宋_GB2312" w:eastAsia="仿宋_GB2312" w:cs="仿宋_GB2312"/>
          <w:color w:val="333333"/>
          <w:sz w:val="32"/>
          <w:szCs w:val="32"/>
          <w:shd w:val="clear" w:color="auto" w:fill="auto"/>
        </w:rPr>
        <w:t>办的具体指导下，</w:t>
      </w:r>
      <w:r>
        <w:rPr>
          <w:rFonts w:hint="eastAsia" w:ascii="仿宋_GB2312" w:hAnsi="仿宋_GB2312" w:eastAsia="仿宋_GB2312" w:cs="仿宋_GB2312"/>
          <w:color w:val="333333"/>
          <w:sz w:val="32"/>
          <w:szCs w:val="32"/>
          <w:shd w:val="clear" w:color="auto" w:fill="auto"/>
          <w:lang w:eastAsia="zh-CN"/>
        </w:rPr>
        <w:t>我局</w:t>
      </w:r>
      <w:r>
        <w:rPr>
          <w:rFonts w:hint="eastAsia" w:ascii="仿宋_GB2312" w:hAnsi="仿宋_GB2312" w:eastAsia="仿宋_GB2312" w:cs="仿宋_GB2312"/>
          <w:color w:val="333333"/>
          <w:sz w:val="32"/>
          <w:szCs w:val="32"/>
          <w:shd w:val="clear" w:color="auto" w:fill="auto"/>
        </w:rPr>
        <w:t>根据工作要求，</w:t>
      </w:r>
      <w:r>
        <w:rPr>
          <w:rFonts w:hint="eastAsia" w:ascii="仿宋_GB2312" w:hAnsi="仿宋_GB2312" w:eastAsia="仿宋_GB2312" w:cs="仿宋_GB2312"/>
          <w:color w:val="333333"/>
          <w:sz w:val="32"/>
          <w:szCs w:val="32"/>
          <w:shd w:val="clear" w:color="auto" w:fill="auto"/>
          <w:lang w:eastAsia="zh-CN"/>
        </w:rPr>
        <w:t>按照</w:t>
      </w:r>
      <w:r>
        <w:rPr>
          <w:rFonts w:hint="eastAsia" w:ascii="仿宋_GB2312" w:hAnsi="仿宋_GB2312" w:eastAsia="仿宋_GB2312" w:cs="仿宋_GB2312"/>
          <w:color w:val="333333"/>
          <w:sz w:val="32"/>
          <w:szCs w:val="32"/>
          <w:shd w:val="clear" w:color="auto" w:fill="auto"/>
        </w:rPr>
        <w:t>依法行政工作目标责任制，紧紧围绕</w:t>
      </w:r>
      <w:r>
        <w:rPr>
          <w:rFonts w:hint="eastAsia" w:ascii="仿宋_GB2312" w:hAnsi="仿宋_GB2312" w:eastAsia="仿宋_GB2312" w:cs="仿宋_GB2312"/>
          <w:color w:val="333333"/>
          <w:sz w:val="32"/>
          <w:szCs w:val="32"/>
          <w:shd w:val="clear" w:color="auto" w:fill="auto"/>
          <w:lang w:eastAsia="zh-CN"/>
        </w:rPr>
        <w:t>本区“打击欺诈骗保”专项整治工作</w:t>
      </w:r>
      <w:r>
        <w:rPr>
          <w:rFonts w:hint="eastAsia" w:ascii="仿宋_GB2312" w:hAnsi="仿宋_GB2312" w:eastAsia="仿宋_GB2312" w:cs="仿宋_GB2312"/>
          <w:color w:val="333333"/>
          <w:sz w:val="32"/>
          <w:szCs w:val="32"/>
          <w:shd w:val="clear" w:color="auto" w:fill="auto"/>
        </w:rPr>
        <w:t>，积极推进依法行政工作，现将</w:t>
      </w:r>
      <w:r>
        <w:rPr>
          <w:rFonts w:hint="eastAsia" w:ascii="仿宋_GB2312" w:hAnsi="仿宋_GB2312" w:eastAsia="仿宋_GB2312" w:cs="仿宋_GB2312"/>
          <w:color w:val="333333"/>
          <w:sz w:val="32"/>
          <w:szCs w:val="32"/>
          <w:shd w:val="clear" w:color="auto" w:fill="auto"/>
          <w:lang w:eastAsia="zh-CN"/>
        </w:rPr>
        <w:t>我局2022</w:t>
      </w:r>
      <w:r>
        <w:rPr>
          <w:rFonts w:hint="eastAsia" w:ascii="仿宋_GB2312" w:hAnsi="仿宋_GB2312" w:eastAsia="仿宋_GB2312" w:cs="仿宋_GB2312"/>
          <w:color w:val="333333"/>
          <w:sz w:val="32"/>
          <w:szCs w:val="32"/>
          <w:shd w:val="clear" w:color="auto" w:fill="auto"/>
        </w:rPr>
        <w:t>年</w:t>
      </w:r>
      <w:r>
        <w:rPr>
          <w:rFonts w:hint="eastAsia" w:ascii="仿宋_GB2312" w:hAnsi="仿宋_GB2312" w:eastAsia="仿宋_GB2312" w:cs="仿宋_GB2312"/>
          <w:color w:val="333333"/>
          <w:sz w:val="32"/>
          <w:szCs w:val="32"/>
          <w:shd w:val="clear" w:color="auto" w:fill="auto"/>
          <w:lang w:eastAsia="zh-CN"/>
        </w:rPr>
        <w:t>法治政府建设工作报告</w:t>
      </w:r>
      <w:r>
        <w:rPr>
          <w:rFonts w:hint="eastAsia" w:ascii="仿宋_GB2312" w:hAnsi="仿宋_GB2312" w:eastAsia="仿宋_GB2312" w:cs="仿宋_GB2312"/>
          <w:color w:val="333333"/>
          <w:sz w:val="32"/>
          <w:szCs w:val="32"/>
          <w:shd w:val="clear" w:color="auto" w:fill="auto"/>
        </w:rPr>
        <w:t>总结如下：</w:t>
      </w:r>
      <w:bookmarkStart w:id="0" w:name="_GoBack"/>
      <w:bookmarkEnd w:id="0"/>
    </w:p>
    <w:p>
      <w:pPr>
        <w:pStyle w:val="5"/>
        <w:keepNext w:val="0"/>
        <w:keepLines w:val="0"/>
        <w:pageBreakBefore w:val="0"/>
        <w:widowControl/>
        <w:kinsoku/>
        <w:wordWrap/>
        <w:overflowPunct/>
        <w:topLinePunct w:val="0"/>
        <w:autoSpaceDE/>
        <w:autoSpaceDN/>
        <w:bidi w:val="0"/>
        <w:adjustRightInd/>
        <w:snapToGrid/>
        <w:spacing w:beforeAutospacing="0" w:afterAutospacing="0" w:line="540" w:lineRule="exact"/>
        <w:ind w:firstLine="640" w:firstLineChars="200"/>
        <w:textAlignment w:val="auto"/>
        <w:rPr>
          <w:rFonts w:hint="eastAsia" w:ascii="黑体" w:hAnsi="黑体" w:eastAsia="黑体" w:cs="黑体"/>
          <w:color w:val="333333"/>
          <w:sz w:val="32"/>
          <w:szCs w:val="32"/>
          <w:shd w:val="clear" w:color="auto" w:fill="auto"/>
          <w:lang w:eastAsia="zh-CN"/>
        </w:rPr>
      </w:pPr>
      <w:r>
        <w:rPr>
          <w:rFonts w:hint="eastAsia" w:ascii="黑体" w:hAnsi="黑体" w:eastAsia="黑体" w:cs="黑体"/>
          <w:color w:val="333333"/>
          <w:sz w:val="32"/>
          <w:szCs w:val="32"/>
          <w:shd w:val="clear" w:color="auto" w:fill="auto"/>
          <w:lang w:eastAsia="zh-CN"/>
        </w:rPr>
        <w:t>一、主要工作</w:t>
      </w:r>
    </w:p>
    <w:p>
      <w:pPr>
        <w:pStyle w:val="5"/>
        <w:keepNext w:val="0"/>
        <w:keepLines w:val="0"/>
        <w:pageBreakBefore w:val="0"/>
        <w:widowControl/>
        <w:kinsoku/>
        <w:wordWrap/>
        <w:overflowPunct/>
        <w:topLinePunct w:val="0"/>
        <w:autoSpaceDE/>
        <w:autoSpaceDN/>
        <w:bidi w:val="0"/>
        <w:adjustRightInd/>
        <w:snapToGrid/>
        <w:spacing w:beforeAutospacing="0" w:afterAutospacing="0" w:line="540" w:lineRule="exact"/>
        <w:ind w:firstLine="640" w:firstLineChars="200"/>
        <w:textAlignment w:val="auto"/>
        <w:rPr>
          <w:rFonts w:hint="eastAsia" w:ascii="楷体" w:hAnsi="楷体" w:eastAsia="楷体" w:cs="楷体"/>
          <w:color w:val="333333"/>
          <w:sz w:val="32"/>
          <w:szCs w:val="32"/>
          <w:shd w:val="clear" w:color="auto" w:fill="auto"/>
        </w:rPr>
      </w:pPr>
      <w:r>
        <w:rPr>
          <w:rFonts w:hint="eastAsia" w:ascii="楷体" w:hAnsi="楷体" w:eastAsia="楷体" w:cs="楷体"/>
          <w:color w:val="333333"/>
          <w:sz w:val="32"/>
          <w:szCs w:val="32"/>
          <w:shd w:val="clear" w:color="auto" w:fill="auto"/>
          <w:lang w:eastAsia="zh-CN"/>
        </w:rPr>
        <w:t>（一）</w:t>
      </w:r>
      <w:r>
        <w:rPr>
          <w:rFonts w:hint="eastAsia" w:ascii="楷体" w:hAnsi="楷体" w:eastAsia="楷体" w:cs="楷体"/>
          <w:color w:val="333333"/>
          <w:sz w:val="32"/>
          <w:szCs w:val="32"/>
          <w:shd w:val="clear" w:color="auto" w:fill="auto"/>
        </w:rPr>
        <w:t>加强组织领导工作，明确工作重点</w:t>
      </w:r>
    </w:p>
    <w:p>
      <w:pPr>
        <w:pStyle w:val="5"/>
        <w:keepNext w:val="0"/>
        <w:keepLines w:val="0"/>
        <w:pageBreakBefore w:val="0"/>
        <w:widowControl/>
        <w:kinsoku/>
        <w:wordWrap/>
        <w:overflowPunct/>
        <w:topLinePunct w:val="0"/>
        <w:autoSpaceDE/>
        <w:autoSpaceDN/>
        <w:bidi w:val="0"/>
        <w:adjustRightInd/>
        <w:snapToGrid/>
        <w:spacing w:beforeAutospacing="0" w:afterAutospacing="0" w:line="540" w:lineRule="exact"/>
        <w:ind w:firstLine="640" w:firstLineChars="200"/>
        <w:textAlignment w:val="auto"/>
        <w:rPr>
          <w:rFonts w:ascii="仿宋_GB2312" w:hAnsi="仿宋_GB2312" w:eastAsia="仿宋_GB2312" w:cs="仿宋_GB2312"/>
          <w:color w:val="333333"/>
          <w:sz w:val="32"/>
          <w:szCs w:val="32"/>
          <w:shd w:val="clear" w:color="auto" w:fill="auto"/>
        </w:rPr>
      </w:pPr>
      <w:r>
        <w:rPr>
          <w:rFonts w:hint="eastAsia" w:ascii="仿宋_GB2312" w:hAnsi="仿宋_GB2312" w:eastAsia="仿宋_GB2312" w:cs="仿宋_GB2312"/>
          <w:color w:val="333333"/>
          <w:sz w:val="32"/>
          <w:szCs w:val="32"/>
          <w:shd w:val="clear" w:color="auto" w:fill="auto"/>
        </w:rPr>
        <w:t>始终坚持依法治国基本方略和依法执政基本方式，</w:t>
      </w:r>
      <w:r>
        <w:rPr>
          <w:rFonts w:hint="eastAsia" w:ascii="仿宋_GB2312" w:hAnsi="仿宋_GB2312" w:eastAsia="仿宋_GB2312" w:cs="仿宋_GB2312"/>
          <w:color w:val="333333"/>
          <w:sz w:val="32"/>
          <w:szCs w:val="32"/>
          <w:shd w:val="clear" w:color="auto" w:fill="auto"/>
          <w:lang w:eastAsia="zh-CN"/>
        </w:rPr>
        <w:t>局</w:t>
      </w:r>
      <w:r>
        <w:rPr>
          <w:rFonts w:hint="eastAsia" w:ascii="仿宋_GB2312" w:hAnsi="仿宋_GB2312" w:eastAsia="仿宋_GB2312" w:cs="仿宋_GB2312"/>
          <w:color w:val="333333"/>
          <w:sz w:val="32"/>
          <w:szCs w:val="32"/>
          <w:shd w:val="clear" w:color="auto" w:fill="auto"/>
        </w:rPr>
        <w:t>领导班子高度重视依法行政工作，坚持把依法行政工作摆上重要议事日程</w:t>
      </w:r>
      <w:r>
        <w:rPr>
          <w:rFonts w:hint="eastAsia" w:ascii="仿宋_GB2312" w:hAnsi="仿宋_GB2312" w:eastAsia="仿宋_GB2312" w:cs="仿宋_GB2312"/>
          <w:color w:val="333333"/>
          <w:sz w:val="32"/>
          <w:szCs w:val="32"/>
          <w:shd w:val="clear" w:color="auto" w:fill="auto"/>
          <w:lang w:eastAsia="zh-CN"/>
        </w:rPr>
        <w:t>，每周局例会讨论专项整治相关工作</w:t>
      </w:r>
      <w:r>
        <w:rPr>
          <w:rFonts w:hint="eastAsia" w:ascii="仿宋_GB2312" w:hAnsi="仿宋_GB2312" w:eastAsia="仿宋_GB2312" w:cs="仿宋_GB2312"/>
          <w:color w:val="333333"/>
          <w:sz w:val="32"/>
          <w:szCs w:val="32"/>
          <w:shd w:val="clear" w:color="auto" w:fill="auto"/>
        </w:rPr>
        <w:t>。紧紧围绕全面推进依法行政、建设法治政府的目标，结合区</w:t>
      </w:r>
      <w:r>
        <w:rPr>
          <w:rFonts w:hint="eastAsia" w:ascii="仿宋_GB2312" w:hAnsi="仿宋_GB2312" w:eastAsia="仿宋_GB2312" w:cs="仿宋_GB2312"/>
          <w:color w:val="333333"/>
          <w:sz w:val="32"/>
          <w:szCs w:val="32"/>
          <w:shd w:val="clear" w:color="auto" w:fill="auto"/>
          <w:lang w:eastAsia="zh-CN"/>
        </w:rPr>
        <w:t>医保监管工作</w:t>
      </w:r>
      <w:r>
        <w:rPr>
          <w:rFonts w:hint="eastAsia" w:ascii="仿宋_GB2312" w:hAnsi="仿宋_GB2312" w:eastAsia="仿宋_GB2312" w:cs="仿宋_GB2312"/>
          <w:color w:val="333333"/>
          <w:sz w:val="32"/>
          <w:szCs w:val="32"/>
          <w:shd w:val="clear" w:color="auto" w:fill="auto"/>
        </w:rPr>
        <w:t>实际，全面开展依法行政工作，</w:t>
      </w:r>
      <w:r>
        <w:rPr>
          <w:rFonts w:hint="eastAsia" w:ascii="仿宋_GB2312" w:hAnsi="仿宋_GB2312" w:eastAsia="仿宋_GB2312" w:cs="仿宋_GB2312"/>
          <w:color w:val="333333"/>
          <w:sz w:val="32"/>
          <w:szCs w:val="32"/>
          <w:shd w:val="clear" w:color="auto" w:fill="auto"/>
          <w:lang w:eastAsia="zh-CN"/>
        </w:rPr>
        <w:t>严格按照</w:t>
      </w:r>
      <w:r>
        <w:rPr>
          <w:rFonts w:hint="eastAsia" w:ascii="仿宋_GB2312" w:hAnsi="仿宋_GB2312" w:eastAsia="仿宋_GB2312" w:cs="仿宋_GB2312"/>
          <w:color w:val="333333"/>
          <w:sz w:val="32"/>
          <w:szCs w:val="32"/>
          <w:shd w:val="clear" w:color="auto" w:fill="auto"/>
        </w:rPr>
        <w:t>依法行政，</w:t>
      </w:r>
      <w:r>
        <w:rPr>
          <w:rFonts w:hint="eastAsia" w:ascii="仿宋_GB2312" w:hAnsi="仿宋_GB2312" w:eastAsia="仿宋_GB2312" w:cs="仿宋_GB2312"/>
          <w:color w:val="333333"/>
          <w:sz w:val="32"/>
          <w:szCs w:val="32"/>
          <w:shd w:val="clear" w:color="auto" w:fill="auto"/>
          <w:lang w:eastAsia="zh-CN"/>
        </w:rPr>
        <w:t>开展医保监督管理。</w:t>
      </w:r>
    </w:p>
    <w:p>
      <w:pPr>
        <w:pStyle w:val="5"/>
        <w:keepNext w:val="0"/>
        <w:keepLines w:val="0"/>
        <w:pageBreakBefore w:val="0"/>
        <w:widowControl/>
        <w:kinsoku/>
        <w:wordWrap/>
        <w:overflowPunct/>
        <w:topLinePunct w:val="0"/>
        <w:autoSpaceDE/>
        <w:autoSpaceDN/>
        <w:bidi w:val="0"/>
        <w:adjustRightInd/>
        <w:snapToGrid/>
        <w:spacing w:beforeAutospacing="0" w:afterAutospacing="0" w:line="540" w:lineRule="exact"/>
        <w:ind w:left="640" w:leftChars="200"/>
        <w:textAlignment w:val="auto"/>
        <w:rPr>
          <w:rFonts w:hint="eastAsia" w:ascii="楷体" w:hAnsi="楷体" w:eastAsia="楷体" w:cs="楷体"/>
          <w:color w:val="333333"/>
          <w:sz w:val="32"/>
          <w:szCs w:val="32"/>
          <w:shd w:val="clear" w:color="auto" w:fill="auto"/>
        </w:rPr>
      </w:pPr>
      <w:r>
        <w:rPr>
          <w:rFonts w:hint="eastAsia" w:ascii="楷体" w:hAnsi="楷体" w:eastAsia="楷体" w:cs="楷体"/>
          <w:color w:val="333333"/>
          <w:sz w:val="32"/>
          <w:szCs w:val="32"/>
          <w:shd w:val="clear" w:color="auto" w:fill="auto"/>
          <w:lang w:eastAsia="zh-CN"/>
        </w:rPr>
        <w:t>（二）落实制度建设</w:t>
      </w:r>
      <w:r>
        <w:rPr>
          <w:rFonts w:hint="eastAsia" w:ascii="楷体" w:hAnsi="楷体" w:eastAsia="楷体" w:cs="楷体"/>
          <w:color w:val="333333"/>
          <w:sz w:val="32"/>
          <w:szCs w:val="32"/>
          <w:shd w:val="clear" w:color="auto" w:fill="auto"/>
        </w:rPr>
        <w:t>，规范执法行为</w:t>
      </w:r>
    </w:p>
    <w:p>
      <w:pPr>
        <w:pStyle w:val="5"/>
        <w:keepNext w:val="0"/>
        <w:keepLines w:val="0"/>
        <w:pageBreakBefore w:val="0"/>
        <w:widowControl/>
        <w:kinsoku/>
        <w:wordWrap/>
        <w:overflowPunct/>
        <w:topLinePunct w:val="0"/>
        <w:autoSpaceDE/>
        <w:autoSpaceDN/>
        <w:bidi w:val="0"/>
        <w:adjustRightInd/>
        <w:snapToGrid/>
        <w:spacing w:beforeAutospacing="0" w:afterAutospacing="0" w:line="540" w:lineRule="exact"/>
        <w:ind w:firstLine="640" w:firstLineChars="200"/>
        <w:textAlignment w:val="auto"/>
        <w:rPr>
          <w:rFonts w:hint="eastAsia" w:ascii="仿宋_GB2312" w:hAnsi="仿宋_GB2312" w:eastAsia="仿宋_GB2312" w:cs="仿宋_GB2312"/>
          <w:sz w:val="32"/>
          <w:szCs w:val="32"/>
          <w:shd w:val="clear" w:color="auto" w:fill="auto"/>
          <w:lang w:eastAsia="zh-CN"/>
        </w:rPr>
      </w:pPr>
      <w:r>
        <w:rPr>
          <w:rFonts w:hint="eastAsia" w:ascii="仿宋_GB2312" w:hAnsi="仿宋_GB2312" w:eastAsia="仿宋_GB2312" w:cs="仿宋_GB2312"/>
          <w:sz w:val="32"/>
          <w:szCs w:val="32"/>
          <w:shd w:val="clear" w:color="auto" w:fill="auto"/>
        </w:rPr>
        <w:t>依据《上海市全面推行行政执法公示制度执法全过程记录制度重大执法决定法制审核制度实施方案》，</w:t>
      </w:r>
      <w:r>
        <w:rPr>
          <w:rFonts w:hint="eastAsia" w:ascii="仿宋_GB2312" w:hAnsi="仿宋_GB2312" w:eastAsia="仿宋_GB2312" w:cs="仿宋_GB2312"/>
          <w:sz w:val="32"/>
          <w:szCs w:val="32"/>
          <w:shd w:val="clear" w:color="auto" w:fill="auto"/>
          <w:lang w:eastAsia="zh-CN"/>
        </w:rPr>
        <w:t>贯彻落实行政执法“三项制度”相关工作</w:t>
      </w:r>
      <w:r>
        <w:rPr>
          <w:rFonts w:hint="eastAsia" w:ascii="仿宋_GB2312" w:hAnsi="仿宋_GB2312" w:eastAsia="仿宋_GB2312" w:cs="仿宋_GB2312"/>
          <w:sz w:val="32"/>
          <w:szCs w:val="32"/>
          <w:shd w:val="clear" w:color="auto" w:fill="auto"/>
        </w:rPr>
        <w:t>，</w:t>
      </w:r>
      <w:r>
        <w:rPr>
          <w:rFonts w:hint="eastAsia" w:ascii="仿宋_GB2312" w:hAnsi="仿宋_GB2312" w:eastAsia="仿宋_GB2312" w:cs="仿宋_GB2312"/>
          <w:sz w:val="32"/>
          <w:szCs w:val="32"/>
          <w:shd w:val="clear" w:color="auto" w:fill="auto"/>
          <w:lang w:eastAsia="zh-CN"/>
        </w:rPr>
        <w:t>提高依法行政意识，规范执法人员的执法行。</w:t>
      </w:r>
    </w:p>
    <w:p>
      <w:pPr>
        <w:pStyle w:val="5"/>
        <w:keepNext w:val="0"/>
        <w:keepLines w:val="0"/>
        <w:pageBreakBefore w:val="0"/>
        <w:widowControl/>
        <w:kinsoku/>
        <w:wordWrap/>
        <w:overflowPunct/>
        <w:topLinePunct w:val="0"/>
        <w:autoSpaceDE/>
        <w:autoSpaceDN/>
        <w:bidi w:val="0"/>
        <w:adjustRightInd/>
        <w:snapToGrid/>
        <w:spacing w:beforeAutospacing="0" w:afterAutospacing="0" w:line="540" w:lineRule="exact"/>
        <w:ind w:left="0" w:leftChars="0" w:firstLine="640" w:firstLineChars="200"/>
        <w:textAlignment w:val="auto"/>
        <w:rPr>
          <w:rFonts w:hint="eastAsia" w:ascii="楷体" w:hAnsi="楷体" w:eastAsia="楷体" w:cs="楷体"/>
          <w:color w:val="333333"/>
          <w:sz w:val="32"/>
          <w:szCs w:val="32"/>
          <w:shd w:val="clear" w:color="auto" w:fill="auto"/>
        </w:rPr>
      </w:pPr>
      <w:r>
        <w:rPr>
          <w:rFonts w:hint="eastAsia" w:ascii="楷体" w:hAnsi="楷体" w:eastAsia="楷体" w:cs="楷体"/>
          <w:color w:val="333333"/>
          <w:sz w:val="32"/>
          <w:szCs w:val="32"/>
          <w:shd w:val="clear" w:color="auto" w:fill="auto"/>
          <w:lang w:eastAsia="zh-CN"/>
        </w:rPr>
        <w:t>（三）狠抓队伍建设，提升执法能力</w:t>
      </w:r>
    </w:p>
    <w:p>
      <w:pPr>
        <w:pStyle w:val="5"/>
        <w:keepNext w:val="0"/>
        <w:keepLines w:val="0"/>
        <w:pageBreakBefore w:val="0"/>
        <w:widowControl/>
        <w:kinsoku/>
        <w:wordWrap/>
        <w:overflowPunct/>
        <w:topLinePunct w:val="0"/>
        <w:autoSpaceDE/>
        <w:autoSpaceDN/>
        <w:bidi w:val="0"/>
        <w:adjustRightInd/>
        <w:snapToGrid/>
        <w:spacing w:beforeAutospacing="0" w:afterAutospacing="0" w:line="540" w:lineRule="exact"/>
        <w:ind w:firstLine="640" w:firstLineChars="200"/>
        <w:textAlignment w:val="auto"/>
        <w:rPr>
          <w:rFonts w:ascii="仿宋_GB2312" w:hAnsi="仿宋_GB2312" w:eastAsia="仿宋_GB2312" w:cs="仿宋_GB2312"/>
          <w:color w:val="333333"/>
          <w:sz w:val="32"/>
          <w:szCs w:val="32"/>
          <w:shd w:val="clear" w:color="auto" w:fill="auto"/>
          <w:lang w:val="en-US"/>
        </w:rPr>
      </w:pPr>
      <w:r>
        <w:rPr>
          <w:rFonts w:hint="eastAsia" w:ascii="仿宋_GB2312" w:hAnsi="仿宋_GB2312" w:eastAsia="仿宋_GB2312" w:cs="仿宋_GB2312"/>
          <w:color w:val="333333"/>
          <w:sz w:val="32"/>
          <w:szCs w:val="32"/>
          <w:shd w:val="clear" w:color="auto" w:fill="auto"/>
          <w:lang w:eastAsia="zh-CN"/>
        </w:rPr>
        <w:t>由局分管领导牵头，加强与区司法局沟通协调，及时掌握依法行政相关政策和要点。积极参与市医疗保障局和区司法局组织的各类法治培训，邀请区局法律顾问，开展依法行政培训讲座，提高医保监管人员医保依法行政能力，累计参加培训</w:t>
      </w:r>
      <w:r>
        <w:rPr>
          <w:rFonts w:hint="eastAsia" w:ascii="仿宋_GB2312" w:hAnsi="仿宋_GB2312" w:eastAsia="仿宋_GB2312" w:cs="仿宋_GB2312"/>
          <w:color w:val="333333"/>
          <w:sz w:val="32"/>
          <w:szCs w:val="32"/>
          <w:shd w:val="clear" w:color="auto" w:fill="auto"/>
          <w:lang w:val="en-US" w:eastAsia="zh-CN"/>
        </w:rPr>
        <w:t>30人次</w:t>
      </w:r>
      <w:r>
        <w:rPr>
          <w:rFonts w:hint="eastAsia" w:ascii="仿宋_GB2312" w:hAnsi="仿宋_GB2312" w:eastAsia="仿宋_GB2312" w:cs="仿宋_GB2312"/>
          <w:color w:val="333333"/>
          <w:sz w:val="32"/>
          <w:szCs w:val="32"/>
          <w:shd w:val="clear" w:color="auto" w:fill="auto"/>
          <w:lang w:eastAsia="zh-CN"/>
        </w:rPr>
        <w:t>。重大行政执法案件邀请法律顾问参与，为行政执法合法合规提供政策咨询。</w:t>
      </w:r>
    </w:p>
    <w:p>
      <w:pPr>
        <w:pStyle w:val="5"/>
        <w:keepNext w:val="0"/>
        <w:keepLines w:val="0"/>
        <w:pageBreakBefore w:val="0"/>
        <w:widowControl/>
        <w:kinsoku/>
        <w:wordWrap/>
        <w:overflowPunct/>
        <w:topLinePunct w:val="0"/>
        <w:autoSpaceDE/>
        <w:autoSpaceDN/>
        <w:bidi w:val="0"/>
        <w:adjustRightInd/>
        <w:snapToGrid/>
        <w:spacing w:beforeAutospacing="0" w:afterAutospacing="0" w:line="540" w:lineRule="exact"/>
        <w:ind w:left="0" w:leftChars="0" w:firstLine="640" w:firstLineChars="200"/>
        <w:textAlignment w:val="auto"/>
        <w:rPr>
          <w:rFonts w:hint="eastAsia" w:ascii="楷体" w:hAnsi="楷体" w:eastAsia="楷体" w:cs="楷体"/>
          <w:color w:val="333333"/>
          <w:sz w:val="32"/>
          <w:szCs w:val="32"/>
          <w:shd w:val="clear" w:color="auto" w:fill="auto"/>
          <w:lang w:eastAsia="zh-CN"/>
        </w:rPr>
      </w:pPr>
      <w:r>
        <w:rPr>
          <w:rFonts w:hint="eastAsia" w:ascii="楷体" w:hAnsi="楷体" w:eastAsia="楷体" w:cs="楷体"/>
          <w:color w:val="333333"/>
          <w:sz w:val="32"/>
          <w:szCs w:val="32"/>
          <w:shd w:val="clear" w:color="auto" w:fill="auto"/>
          <w:lang w:eastAsia="zh-CN"/>
        </w:rPr>
        <w:t>（四）创新监管模式，强化监督监管</w:t>
      </w:r>
    </w:p>
    <w:p>
      <w:pPr>
        <w:pStyle w:val="5"/>
        <w:keepNext w:val="0"/>
        <w:keepLines w:val="0"/>
        <w:pageBreakBefore w:val="0"/>
        <w:widowControl/>
        <w:kinsoku/>
        <w:wordWrap/>
        <w:overflowPunct/>
        <w:topLinePunct w:val="0"/>
        <w:autoSpaceDE/>
        <w:autoSpaceDN/>
        <w:bidi w:val="0"/>
        <w:adjustRightInd/>
        <w:snapToGrid/>
        <w:spacing w:beforeAutospacing="0" w:afterAutospacing="0" w:line="540" w:lineRule="exact"/>
        <w:ind w:left="0" w:leftChars="0" w:firstLine="643" w:firstLineChars="200"/>
        <w:textAlignment w:val="auto"/>
        <w:rPr>
          <w:rFonts w:hint="eastAsia" w:ascii="仿宋_GB2312" w:hAnsi="仿宋_GB2312" w:eastAsia="仿宋_GB2312" w:cs="仿宋_GB2312"/>
          <w:color w:val="333333"/>
          <w:sz w:val="32"/>
          <w:szCs w:val="32"/>
          <w:shd w:val="clear" w:color="auto" w:fill="auto"/>
          <w:lang w:eastAsia="zh-CN"/>
        </w:rPr>
      </w:pPr>
      <w:r>
        <w:rPr>
          <w:rFonts w:hint="eastAsia" w:ascii="仿宋_GB2312" w:hAnsi="仿宋_GB2312" w:eastAsia="仿宋_GB2312" w:cs="仿宋_GB2312"/>
          <w:b/>
          <w:bCs/>
          <w:color w:val="333333"/>
          <w:sz w:val="32"/>
          <w:szCs w:val="32"/>
          <w:shd w:val="clear" w:color="auto" w:fill="auto"/>
          <w:lang w:val="en-US" w:eastAsia="zh-CN"/>
        </w:rPr>
        <w:t>1、</w:t>
      </w:r>
      <w:r>
        <w:rPr>
          <w:rFonts w:hint="eastAsia" w:ascii="仿宋_GB2312" w:hAnsi="仿宋_GB2312" w:eastAsia="仿宋_GB2312" w:cs="仿宋_GB2312"/>
          <w:b/>
          <w:bCs/>
          <w:color w:val="333333"/>
          <w:sz w:val="32"/>
          <w:szCs w:val="32"/>
          <w:shd w:val="clear" w:color="auto" w:fill="auto"/>
          <w:lang w:eastAsia="zh-CN"/>
        </w:rPr>
        <w:t>落实执法公示制度。</w:t>
      </w:r>
      <w:r>
        <w:rPr>
          <w:rFonts w:hint="eastAsia" w:ascii="仿宋_GB2312" w:hAnsi="仿宋_GB2312" w:eastAsia="仿宋_GB2312" w:cs="仿宋_GB2312"/>
          <w:color w:val="333333"/>
          <w:sz w:val="32"/>
          <w:szCs w:val="32"/>
          <w:shd w:val="clear" w:color="auto" w:fill="auto"/>
          <w:lang w:eastAsia="zh-CN"/>
        </w:rPr>
        <w:t>建立行政权力清单，并对行政权力清单动态管理，利用“互联网</w:t>
      </w:r>
      <w:r>
        <w:rPr>
          <w:rFonts w:hint="eastAsia" w:ascii="仿宋_GB2312" w:hAnsi="仿宋_GB2312" w:eastAsia="仿宋_GB2312" w:cs="仿宋_GB2312"/>
          <w:color w:val="333333"/>
          <w:sz w:val="32"/>
          <w:szCs w:val="32"/>
          <w:shd w:val="clear" w:color="auto" w:fill="auto"/>
          <w:lang w:val="en-US" w:eastAsia="zh-CN"/>
        </w:rPr>
        <w:t>+监管</w:t>
      </w:r>
      <w:r>
        <w:rPr>
          <w:rFonts w:hint="eastAsia" w:ascii="仿宋_GB2312" w:hAnsi="仿宋_GB2312" w:eastAsia="仿宋_GB2312" w:cs="仿宋_GB2312"/>
          <w:color w:val="333333"/>
          <w:sz w:val="32"/>
          <w:szCs w:val="32"/>
          <w:shd w:val="clear" w:color="auto" w:fill="auto"/>
          <w:lang w:eastAsia="zh-CN"/>
        </w:rPr>
        <w:t>”平台，开展各类定点机构“双随机”抽查，及时上报抽查结果，并报送医保监管动态。</w:t>
      </w:r>
    </w:p>
    <w:p>
      <w:pPr>
        <w:pStyle w:val="5"/>
        <w:keepNext w:val="0"/>
        <w:keepLines w:val="0"/>
        <w:pageBreakBefore w:val="0"/>
        <w:widowControl/>
        <w:kinsoku/>
        <w:wordWrap/>
        <w:overflowPunct/>
        <w:topLinePunct w:val="0"/>
        <w:autoSpaceDE/>
        <w:autoSpaceDN/>
        <w:bidi w:val="0"/>
        <w:adjustRightInd/>
        <w:snapToGrid/>
        <w:spacing w:beforeAutospacing="0" w:afterAutospacing="0" w:line="540" w:lineRule="exact"/>
        <w:ind w:left="0" w:leftChars="0" w:firstLine="643" w:firstLineChars="200"/>
        <w:textAlignment w:val="auto"/>
        <w:rPr>
          <w:rFonts w:hint="eastAsia" w:ascii="仿宋_GB2312" w:hAnsi="仿宋_GB2312" w:eastAsia="仿宋_GB2312" w:cs="仿宋_GB2312"/>
          <w:color w:val="333333"/>
          <w:sz w:val="32"/>
          <w:szCs w:val="32"/>
          <w:shd w:val="clear" w:color="auto" w:fill="auto"/>
          <w:lang w:val="en-US" w:eastAsia="zh-CN"/>
        </w:rPr>
      </w:pPr>
      <w:r>
        <w:rPr>
          <w:rFonts w:hint="eastAsia" w:ascii="仿宋_GB2312" w:hAnsi="仿宋_GB2312" w:eastAsia="仿宋_GB2312" w:cs="仿宋_GB2312"/>
          <w:b/>
          <w:bCs/>
          <w:color w:val="333333"/>
          <w:sz w:val="32"/>
          <w:szCs w:val="32"/>
          <w:shd w:val="clear" w:color="auto" w:fill="auto"/>
          <w:lang w:val="en-US" w:eastAsia="zh-CN"/>
        </w:rPr>
        <w:t>2、开展“打击欺诈骗保专项”整治。</w:t>
      </w:r>
      <w:r>
        <w:rPr>
          <w:rFonts w:hint="eastAsia" w:ascii="仿宋_GB2312" w:hAnsi="仿宋_GB2312" w:eastAsia="仿宋_GB2312" w:cs="仿宋_GB2312"/>
          <w:color w:val="333333"/>
          <w:sz w:val="32"/>
          <w:szCs w:val="32"/>
          <w:shd w:val="clear" w:color="auto" w:fill="auto"/>
          <w:lang w:val="en-US" w:eastAsia="zh-CN"/>
        </w:rPr>
        <w:t>制定年度监管计划，按照市医保局的统一部署，开展对各类医保定点机构监督检查，全年实现监督检查全覆盖。加强医保政策宣传，开展各类医保相关人员政策培训，组织开展医保医师医保政策知识竞赛，依托定点机构、乡镇社区受理中心、亚通客运等平台广泛开展“打击欺诈骗保”政策宣传。召开医保、卫生、公安、民政、市场监管等部门专项治理联席会议，建立工作专班，通报工作开展情况，加强部门协调，开展联合执法，形成监管合力。</w:t>
      </w:r>
    </w:p>
    <w:p>
      <w:pPr>
        <w:pStyle w:val="5"/>
        <w:keepNext w:val="0"/>
        <w:keepLines w:val="0"/>
        <w:pageBreakBefore w:val="0"/>
        <w:widowControl/>
        <w:kinsoku/>
        <w:wordWrap/>
        <w:overflowPunct/>
        <w:topLinePunct w:val="0"/>
        <w:autoSpaceDE/>
        <w:autoSpaceDN/>
        <w:bidi w:val="0"/>
        <w:adjustRightInd/>
        <w:snapToGrid/>
        <w:spacing w:beforeAutospacing="0" w:afterAutospacing="0" w:line="540" w:lineRule="exact"/>
        <w:ind w:left="0" w:leftChars="0" w:firstLine="643" w:firstLineChars="200"/>
        <w:textAlignment w:val="auto"/>
        <w:rPr>
          <w:rFonts w:hint="default" w:ascii="仿宋_GB2312" w:hAnsi="仿宋_GB2312" w:eastAsia="仿宋_GB2312" w:cs="仿宋_GB2312"/>
          <w:color w:val="333333"/>
          <w:sz w:val="32"/>
          <w:szCs w:val="32"/>
          <w:shd w:val="clear" w:color="auto" w:fill="auto"/>
          <w:lang w:val="en-US" w:eastAsia="zh-CN"/>
        </w:rPr>
      </w:pPr>
      <w:r>
        <w:rPr>
          <w:rFonts w:hint="eastAsia" w:ascii="仿宋_GB2312" w:hAnsi="仿宋_GB2312" w:eastAsia="仿宋_GB2312" w:cs="仿宋_GB2312"/>
          <w:b/>
          <w:bCs/>
          <w:color w:val="333333"/>
          <w:sz w:val="32"/>
          <w:szCs w:val="32"/>
          <w:shd w:val="clear" w:color="auto" w:fill="auto"/>
          <w:lang w:val="en-US" w:eastAsia="zh-CN"/>
        </w:rPr>
        <w:t>3、推进信息化监管新模式。</w:t>
      </w:r>
      <w:r>
        <w:rPr>
          <w:rFonts w:hint="eastAsia" w:ascii="仿宋_GB2312" w:hAnsi="仿宋_GB2312" w:eastAsia="仿宋_GB2312" w:cs="仿宋_GB2312"/>
          <w:color w:val="333333"/>
          <w:sz w:val="32"/>
          <w:szCs w:val="32"/>
          <w:shd w:val="clear" w:color="auto" w:fill="auto"/>
          <w:lang w:val="en-US" w:eastAsia="zh-CN"/>
        </w:rPr>
        <w:t>探索建立定点医药机构药品进销存监管系统和护理机构康复类项目监管系统，不断提高监管效率。</w:t>
      </w:r>
    </w:p>
    <w:p>
      <w:pPr>
        <w:keepNext w:val="0"/>
        <w:keepLines w:val="0"/>
        <w:pageBreakBefore w:val="0"/>
        <w:kinsoku/>
        <w:wordWrap/>
        <w:overflowPunct/>
        <w:topLinePunct w:val="0"/>
        <w:autoSpaceDE/>
        <w:autoSpaceDN/>
        <w:bidi w:val="0"/>
        <w:adjustRightInd/>
        <w:snapToGrid/>
        <w:spacing w:line="540" w:lineRule="exact"/>
        <w:ind w:left="0" w:leftChars="0" w:firstLine="640" w:firstLineChars="200"/>
        <w:textAlignment w:val="auto"/>
        <w:rPr>
          <w:rFonts w:hint="eastAsia" w:ascii="楷体" w:hAnsi="楷体" w:eastAsia="楷体" w:cs="楷体"/>
          <w:sz w:val="32"/>
          <w:szCs w:val="32"/>
          <w:shd w:val="clear" w:color="auto" w:fill="auto"/>
          <w:lang w:val="en-US" w:eastAsia="zh-CN"/>
        </w:rPr>
      </w:pPr>
      <w:r>
        <w:rPr>
          <w:rFonts w:hint="eastAsia" w:ascii="楷体" w:hAnsi="楷体" w:eastAsia="楷体" w:cs="楷体"/>
          <w:sz w:val="32"/>
          <w:szCs w:val="32"/>
          <w:shd w:val="clear" w:color="auto" w:fill="auto"/>
          <w:lang w:val="en-US" w:eastAsia="zh-CN"/>
        </w:rPr>
        <w:t>（五）强化执法力度，确保医保基金使用安全</w:t>
      </w:r>
    </w:p>
    <w:p>
      <w:pPr>
        <w:keepNext w:val="0"/>
        <w:keepLines w:val="0"/>
        <w:pageBreakBefore w:val="0"/>
        <w:kinsoku/>
        <w:wordWrap/>
        <w:overflowPunct/>
        <w:topLinePunct w:val="0"/>
        <w:autoSpaceDE/>
        <w:autoSpaceDN/>
        <w:bidi w:val="0"/>
        <w:adjustRightInd/>
        <w:snapToGrid/>
        <w:spacing w:line="540" w:lineRule="exact"/>
        <w:ind w:left="0" w:leftChars="0" w:firstLine="640" w:firstLineChars="200"/>
        <w:textAlignment w:val="auto"/>
        <w:rPr>
          <w:rFonts w:hint="eastAsia" w:ascii="仿宋_GB2312" w:hAnsi="宋体" w:eastAsia="仿宋"/>
          <w:sz w:val="32"/>
          <w:szCs w:val="32"/>
          <w:shd w:val="clear" w:color="auto" w:fill="auto"/>
          <w:lang w:eastAsia="zh-CN"/>
        </w:rPr>
      </w:pPr>
      <w:r>
        <w:rPr>
          <w:rFonts w:hint="eastAsia" w:ascii="仿宋_GB2312" w:hAnsi="仿宋_GB2312" w:eastAsia="仿宋_GB2312" w:cs="仿宋_GB2312"/>
          <w:sz w:val="32"/>
          <w:szCs w:val="32"/>
          <w:shd w:val="clear" w:color="auto" w:fill="auto"/>
        </w:rPr>
        <w:t>今年</w:t>
      </w:r>
      <w:r>
        <w:rPr>
          <w:rFonts w:hint="eastAsia" w:ascii="仿宋_GB2312" w:hAnsi="仿宋_GB2312" w:eastAsia="仿宋_GB2312" w:cs="仿宋_GB2312"/>
          <w:sz w:val="32"/>
          <w:szCs w:val="32"/>
          <w:shd w:val="clear" w:color="auto" w:fill="auto"/>
          <w:lang w:eastAsia="zh-CN"/>
        </w:rPr>
        <w:t>已完成</w:t>
      </w:r>
      <w:r>
        <w:rPr>
          <w:rFonts w:hint="eastAsia" w:ascii="仿宋_GB2312" w:hAnsi="仿宋_GB2312" w:eastAsia="仿宋_GB2312" w:cs="仿宋_GB2312"/>
          <w:sz w:val="32"/>
          <w:szCs w:val="32"/>
          <w:shd w:val="clear" w:color="auto" w:fill="auto"/>
        </w:rPr>
        <w:t>实施行政</w:t>
      </w:r>
      <w:r>
        <w:rPr>
          <w:rFonts w:hint="eastAsia" w:ascii="仿宋_GB2312" w:hAnsi="仿宋_GB2312" w:eastAsia="仿宋_GB2312" w:cs="仿宋_GB2312"/>
          <w:sz w:val="32"/>
          <w:szCs w:val="32"/>
          <w:shd w:val="clear" w:color="auto" w:fill="auto"/>
          <w:lang w:eastAsia="zh-CN"/>
        </w:rPr>
        <w:t>检查</w:t>
      </w:r>
      <w:r>
        <w:rPr>
          <w:rFonts w:hint="eastAsia" w:ascii="仿宋_GB2312" w:hAnsi="仿宋_GB2312" w:eastAsia="仿宋_GB2312" w:cs="仿宋_GB2312"/>
          <w:sz w:val="32"/>
          <w:szCs w:val="32"/>
          <w:shd w:val="clear" w:color="auto" w:fill="auto"/>
          <w:lang w:val="en-US" w:eastAsia="zh-CN"/>
        </w:rPr>
        <w:t>84家次</w:t>
      </w:r>
      <w:r>
        <w:rPr>
          <w:rFonts w:hint="eastAsia" w:ascii="仿宋_GB2312" w:hAnsi="仿宋_GB2312" w:eastAsia="仿宋_GB2312" w:cs="仿宋_GB2312"/>
          <w:sz w:val="32"/>
          <w:szCs w:val="32"/>
          <w:shd w:val="clear" w:color="auto" w:fill="auto"/>
        </w:rPr>
        <w:t>，</w:t>
      </w:r>
      <w:r>
        <w:rPr>
          <w:rFonts w:hint="eastAsia" w:ascii="仿宋_GB2312" w:hAnsi="仿宋_GB2312" w:eastAsia="仿宋_GB2312" w:cs="仿宋_GB2312"/>
          <w:sz w:val="32"/>
          <w:szCs w:val="32"/>
          <w:shd w:val="clear" w:color="auto" w:fill="auto"/>
          <w:lang w:eastAsia="zh-CN"/>
        </w:rPr>
        <w:t>追回违规费用</w:t>
      </w:r>
      <w:r>
        <w:rPr>
          <w:rFonts w:hint="eastAsia" w:ascii="仿宋" w:hAnsi="仿宋" w:eastAsia="仿宋" w:cs="仿宋"/>
          <w:sz w:val="32"/>
          <w:szCs w:val="32"/>
          <w:shd w:val="clear" w:color="auto" w:fill="auto"/>
          <w:lang w:val="en-US" w:eastAsia="zh-CN"/>
        </w:rPr>
        <w:t>119.71</w:t>
      </w:r>
      <w:r>
        <w:rPr>
          <w:rFonts w:hint="eastAsia" w:ascii="仿宋" w:hAnsi="仿宋" w:eastAsia="仿宋" w:cs="仿宋"/>
          <w:sz w:val="32"/>
          <w:szCs w:val="32"/>
          <w:shd w:val="clear" w:color="auto" w:fill="auto"/>
        </w:rPr>
        <w:t>万</w:t>
      </w:r>
      <w:r>
        <w:rPr>
          <w:rFonts w:hint="eastAsia" w:ascii="仿宋" w:hAnsi="仿宋" w:eastAsia="仿宋" w:cs="仿宋"/>
          <w:sz w:val="32"/>
          <w:szCs w:val="32"/>
          <w:shd w:val="clear" w:color="auto" w:fill="auto"/>
          <w:lang w:eastAsia="zh-CN"/>
        </w:rPr>
        <w:t>元，行政处罚</w:t>
      </w:r>
      <w:r>
        <w:rPr>
          <w:rFonts w:hint="eastAsia" w:ascii="仿宋" w:hAnsi="仿宋" w:eastAsia="仿宋" w:cs="仿宋"/>
          <w:sz w:val="32"/>
          <w:szCs w:val="32"/>
          <w:shd w:val="clear" w:color="auto" w:fill="auto"/>
          <w:lang w:val="en-US" w:eastAsia="zh-CN"/>
        </w:rPr>
        <w:t>25家次，罚款25.83万元</w:t>
      </w:r>
      <w:r>
        <w:rPr>
          <w:rFonts w:hint="eastAsia" w:ascii="仿宋" w:hAnsi="仿宋" w:eastAsia="仿宋" w:cs="仿宋"/>
          <w:sz w:val="32"/>
          <w:szCs w:val="32"/>
          <w:shd w:val="clear" w:color="auto" w:fill="auto"/>
          <w:lang w:eastAsia="zh-CN"/>
        </w:rPr>
        <w:t>。其中</w:t>
      </w:r>
      <w:r>
        <w:rPr>
          <w:rFonts w:hint="eastAsia" w:ascii="仿宋" w:hAnsi="仿宋" w:eastAsia="仿宋" w:cs="仿宋"/>
          <w:b w:val="0"/>
          <w:bCs w:val="0"/>
          <w:sz w:val="32"/>
          <w:szCs w:val="32"/>
          <w:lang w:eastAsia="zh-CN"/>
        </w:rPr>
        <w:t>分别与区卫健委、区市场监管局、区纪检等部门开展联合检查</w:t>
      </w:r>
      <w:r>
        <w:rPr>
          <w:rFonts w:hint="eastAsia" w:ascii="仿宋" w:hAnsi="仿宋" w:eastAsia="仿宋" w:cs="仿宋"/>
          <w:b w:val="0"/>
          <w:bCs w:val="0"/>
          <w:sz w:val="32"/>
          <w:szCs w:val="32"/>
          <w:lang w:val="en-US" w:eastAsia="zh-CN"/>
        </w:rPr>
        <w:t>9家次。</w:t>
      </w:r>
    </w:p>
    <w:p>
      <w:pPr>
        <w:pStyle w:val="5"/>
        <w:keepNext w:val="0"/>
        <w:keepLines w:val="0"/>
        <w:pageBreakBefore w:val="0"/>
        <w:widowControl/>
        <w:numPr>
          <w:ilvl w:val="0"/>
          <w:numId w:val="0"/>
        </w:numPr>
        <w:kinsoku/>
        <w:wordWrap/>
        <w:overflowPunct/>
        <w:topLinePunct w:val="0"/>
        <w:autoSpaceDE/>
        <w:autoSpaceDN/>
        <w:bidi w:val="0"/>
        <w:adjustRightInd/>
        <w:snapToGrid/>
        <w:spacing w:beforeAutospacing="0" w:afterAutospacing="0" w:line="540" w:lineRule="exact"/>
        <w:ind w:leftChars="200"/>
        <w:textAlignment w:val="auto"/>
        <w:rPr>
          <w:rFonts w:hint="eastAsia" w:ascii="黑体" w:hAnsi="黑体" w:eastAsia="黑体" w:cs="黑体"/>
          <w:sz w:val="32"/>
          <w:szCs w:val="32"/>
          <w:shd w:val="clear" w:color="auto" w:fill="auto"/>
          <w:lang w:val="en-US" w:eastAsia="zh-CN"/>
        </w:rPr>
      </w:pPr>
      <w:r>
        <w:rPr>
          <w:rFonts w:hint="eastAsia" w:ascii="黑体" w:hAnsi="黑体" w:eastAsia="黑体" w:cs="黑体"/>
          <w:sz w:val="32"/>
          <w:szCs w:val="32"/>
          <w:shd w:val="clear" w:color="auto" w:fill="auto"/>
          <w:lang w:val="en-US" w:eastAsia="zh-CN"/>
        </w:rPr>
        <w:t>二、存在问题</w:t>
      </w:r>
    </w:p>
    <w:p>
      <w:pPr>
        <w:keepNext w:val="0"/>
        <w:keepLines w:val="0"/>
        <w:pageBreakBefore w:val="0"/>
        <w:widowControl w:val="0"/>
        <w:kinsoku/>
        <w:wordWrap/>
        <w:overflowPunct/>
        <w:topLinePunct w:val="0"/>
        <w:autoSpaceDE/>
        <w:autoSpaceDN/>
        <w:bidi w:val="0"/>
        <w:adjustRightInd/>
        <w:snapToGrid/>
        <w:spacing w:line="540" w:lineRule="exact"/>
        <w:ind w:firstLine="600"/>
        <w:textAlignment w:val="auto"/>
        <w:outlineLvl w:val="9"/>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1、监管手段有待加强</w:t>
      </w:r>
    </w:p>
    <w:p>
      <w:pPr>
        <w:keepNext w:val="0"/>
        <w:keepLines w:val="0"/>
        <w:pageBreakBefore w:val="0"/>
        <w:widowControl w:val="0"/>
        <w:kinsoku/>
        <w:wordWrap/>
        <w:overflowPunct/>
        <w:topLinePunct w:val="0"/>
        <w:autoSpaceDE/>
        <w:autoSpaceDN/>
        <w:bidi w:val="0"/>
        <w:adjustRightInd/>
        <w:snapToGrid/>
        <w:spacing w:line="540" w:lineRule="exact"/>
        <w:ind w:firstLine="600"/>
        <w:textAlignment w:val="auto"/>
        <w:outlineLvl w:val="9"/>
        <w:rPr>
          <w:rFonts w:hint="eastAsia" w:ascii="仿宋" w:hAnsi="仿宋" w:eastAsia="仿宋" w:cs="仿宋"/>
          <w:sz w:val="32"/>
          <w:szCs w:val="32"/>
          <w:lang w:val="en-US" w:eastAsia="zh-CN"/>
        </w:rPr>
      </w:pPr>
      <w:r>
        <w:rPr>
          <w:rFonts w:hint="eastAsia" w:ascii="仿宋" w:hAnsi="仿宋" w:eastAsia="仿宋" w:cs="仿宋"/>
          <w:b w:val="0"/>
          <w:bCs w:val="0"/>
          <w:sz w:val="32"/>
          <w:szCs w:val="32"/>
          <w:lang w:val="en-US" w:eastAsia="zh-CN"/>
        </w:rPr>
        <w:t>目前</w:t>
      </w:r>
      <w:r>
        <w:rPr>
          <w:rFonts w:hint="eastAsia" w:ascii="仿宋" w:hAnsi="仿宋" w:eastAsia="仿宋" w:cs="仿宋"/>
          <w:sz w:val="32"/>
          <w:szCs w:val="32"/>
          <w:lang w:val="en-US" w:eastAsia="zh-CN"/>
        </w:rPr>
        <w:t>监管手段与监管新要求存在差距，智能信息化监管运用能力还存在不足，智能化监管手段有待进一步加强。</w:t>
      </w:r>
    </w:p>
    <w:p>
      <w:pPr>
        <w:keepNext w:val="0"/>
        <w:keepLines w:val="0"/>
        <w:pageBreakBefore w:val="0"/>
        <w:widowControl w:val="0"/>
        <w:kinsoku/>
        <w:wordWrap/>
        <w:overflowPunct/>
        <w:topLinePunct w:val="0"/>
        <w:autoSpaceDE/>
        <w:autoSpaceDN/>
        <w:bidi w:val="0"/>
        <w:adjustRightInd/>
        <w:snapToGrid/>
        <w:spacing w:line="540" w:lineRule="exact"/>
        <w:ind w:firstLine="600"/>
        <w:textAlignment w:val="auto"/>
        <w:outlineLvl w:val="9"/>
        <w:rPr>
          <w:rFonts w:hint="eastAsia" w:ascii="楷体" w:hAnsi="楷体" w:eastAsia="楷体" w:cs="楷体"/>
          <w:b w:val="0"/>
          <w:bCs w:val="0"/>
          <w:sz w:val="32"/>
          <w:szCs w:val="32"/>
          <w:lang w:val="en-US" w:eastAsia="zh-CN"/>
        </w:rPr>
      </w:pPr>
      <w:r>
        <w:rPr>
          <w:rFonts w:hint="eastAsia" w:ascii="楷体" w:hAnsi="楷体" w:eastAsia="楷体" w:cs="楷体"/>
          <w:b w:val="0"/>
          <w:bCs w:val="0"/>
          <w:sz w:val="32"/>
          <w:szCs w:val="32"/>
          <w:lang w:val="en-US" w:eastAsia="zh-CN"/>
        </w:rPr>
        <w:t>2、监管人员业务能力有待加强</w:t>
      </w:r>
    </w:p>
    <w:p>
      <w:pPr>
        <w:keepNext w:val="0"/>
        <w:keepLines w:val="0"/>
        <w:pageBreakBefore w:val="0"/>
        <w:widowControl w:val="0"/>
        <w:kinsoku/>
        <w:wordWrap/>
        <w:overflowPunct/>
        <w:topLinePunct w:val="0"/>
        <w:autoSpaceDE/>
        <w:autoSpaceDN/>
        <w:bidi w:val="0"/>
        <w:adjustRightInd/>
        <w:snapToGrid/>
        <w:spacing w:line="540" w:lineRule="exact"/>
        <w:ind w:firstLine="600"/>
        <w:textAlignment w:val="auto"/>
        <w:outlineLvl w:val="9"/>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区医保保障局成立以后，经统筹协调，目前监管力量得到补充，但多数为2022年新从事医保监管工作，医保监管经验依法执行能力水平还存在不足，依法行政和监管业务能力有待提高。</w:t>
      </w:r>
    </w:p>
    <w:p>
      <w:pPr>
        <w:pStyle w:val="5"/>
        <w:keepNext w:val="0"/>
        <w:keepLines w:val="0"/>
        <w:pageBreakBefore w:val="0"/>
        <w:widowControl/>
        <w:kinsoku/>
        <w:wordWrap/>
        <w:overflowPunct/>
        <w:topLinePunct w:val="0"/>
        <w:autoSpaceDE/>
        <w:autoSpaceDN/>
        <w:bidi w:val="0"/>
        <w:adjustRightInd/>
        <w:snapToGrid/>
        <w:spacing w:beforeAutospacing="0" w:afterAutospacing="0" w:line="540" w:lineRule="exact"/>
        <w:ind w:left="0" w:leftChars="0" w:firstLine="640" w:firstLineChars="200"/>
        <w:textAlignment w:val="auto"/>
        <w:rPr>
          <w:rFonts w:hint="eastAsia" w:ascii="仿宋_GB2312" w:hAnsi="仿宋_GB2312" w:eastAsia="仿宋_GB2312" w:cs="仿宋_GB2312"/>
          <w:color w:val="333333"/>
          <w:kern w:val="0"/>
          <w:sz w:val="32"/>
          <w:szCs w:val="32"/>
          <w:shd w:val="clear" w:color="auto" w:fill="auto"/>
          <w:lang w:eastAsia="zh-CN"/>
        </w:rPr>
      </w:pPr>
      <w:r>
        <w:rPr>
          <w:rFonts w:hint="eastAsia" w:ascii="仿宋_GB2312" w:hAnsi="仿宋_GB2312" w:eastAsia="仿宋_GB2312" w:cs="仿宋_GB2312"/>
          <w:color w:val="333333"/>
          <w:sz w:val="32"/>
          <w:szCs w:val="32"/>
          <w:shd w:val="clear" w:color="auto" w:fill="auto"/>
        </w:rPr>
        <w:t>　</w:t>
      </w:r>
      <w:r>
        <w:rPr>
          <w:rFonts w:hint="eastAsia" w:ascii="仿宋_GB2312" w:hAnsi="仿宋_GB2312" w:eastAsia="仿宋_GB2312" w:cs="仿宋_GB2312"/>
          <w:color w:val="333333"/>
          <w:sz w:val="32"/>
          <w:szCs w:val="32"/>
          <w:shd w:val="clear" w:color="auto" w:fill="auto"/>
          <w:lang w:val="en-US" w:eastAsia="zh-CN"/>
        </w:rPr>
        <w:t xml:space="preserve">                   </w:t>
      </w:r>
      <w:r>
        <w:rPr>
          <w:rFonts w:hint="eastAsia" w:ascii="仿宋_GB2312" w:hAnsi="仿宋_GB2312" w:eastAsia="仿宋_GB2312" w:cs="仿宋_GB2312"/>
          <w:color w:val="333333"/>
          <w:kern w:val="0"/>
          <w:sz w:val="32"/>
          <w:szCs w:val="32"/>
          <w:shd w:val="clear" w:color="auto" w:fill="auto"/>
        </w:rPr>
        <w:t>上海市崇明区</w:t>
      </w:r>
      <w:r>
        <w:rPr>
          <w:rFonts w:hint="eastAsia" w:ascii="仿宋_GB2312" w:hAnsi="仿宋_GB2312" w:eastAsia="仿宋_GB2312" w:cs="仿宋_GB2312"/>
          <w:color w:val="333333"/>
          <w:kern w:val="0"/>
          <w:sz w:val="32"/>
          <w:szCs w:val="32"/>
          <w:shd w:val="clear" w:color="auto" w:fill="auto"/>
          <w:lang w:eastAsia="zh-CN"/>
        </w:rPr>
        <w:t>医保保障局</w:t>
      </w:r>
    </w:p>
    <w:p>
      <w:pPr>
        <w:keepNext w:val="0"/>
        <w:keepLines w:val="0"/>
        <w:pageBreakBefore w:val="0"/>
        <w:kinsoku/>
        <w:wordWrap/>
        <w:overflowPunct/>
        <w:topLinePunct w:val="0"/>
        <w:autoSpaceDE/>
        <w:autoSpaceDN/>
        <w:bidi w:val="0"/>
        <w:adjustRightInd/>
        <w:snapToGrid/>
        <w:spacing w:line="540" w:lineRule="exact"/>
        <w:ind w:firstLine="4800" w:firstLineChars="1500"/>
        <w:textAlignment w:val="auto"/>
        <w:rPr>
          <w:rFonts w:ascii="仿宋_GB2312" w:hAnsi="仿宋_GB2312" w:eastAsia="仿宋_GB2312"/>
          <w:color w:val="333333"/>
          <w:kern w:val="0"/>
          <w:shd w:val="clear" w:color="auto" w:fill="auto"/>
        </w:rPr>
      </w:pPr>
      <w:r>
        <w:rPr>
          <w:rFonts w:hint="eastAsia" w:ascii="仿宋_GB2312" w:hAnsi="仿宋_GB2312" w:eastAsia="仿宋_GB2312" w:cs="仿宋_GB2312"/>
          <w:color w:val="333333"/>
          <w:kern w:val="0"/>
          <w:sz w:val="32"/>
          <w:szCs w:val="32"/>
          <w:shd w:val="clear" w:color="auto" w:fill="auto"/>
          <w:lang w:eastAsia="zh-CN"/>
        </w:rPr>
        <w:t>2022</w:t>
      </w:r>
      <w:r>
        <w:rPr>
          <w:rFonts w:hint="eastAsia" w:ascii="仿宋_GB2312" w:hAnsi="仿宋_GB2312" w:eastAsia="仿宋_GB2312" w:cs="仿宋_GB2312"/>
          <w:color w:val="333333"/>
          <w:kern w:val="0"/>
          <w:sz w:val="32"/>
          <w:szCs w:val="32"/>
          <w:shd w:val="clear" w:color="auto" w:fill="auto"/>
        </w:rPr>
        <w:t>年10月</w:t>
      </w:r>
      <w:r>
        <w:rPr>
          <w:rFonts w:hint="eastAsia" w:ascii="仿宋_GB2312" w:hAnsi="仿宋_GB2312" w:eastAsia="仿宋_GB2312" w:cs="仿宋_GB2312"/>
          <w:color w:val="333333"/>
          <w:kern w:val="0"/>
          <w:sz w:val="32"/>
          <w:szCs w:val="32"/>
          <w:shd w:val="clear" w:color="auto" w:fill="auto"/>
          <w:lang w:val="en-US" w:eastAsia="zh-CN"/>
        </w:rPr>
        <w:t>28日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CC"/>
    <w:family w:val="roman"/>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
    <w:altName w:val="方正楷体_GBK"/>
    <w:panose1 w:val="02010609060101010101"/>
    <w:charset w:val="86"/>
    <w:family w:val="auto"/>
    <w:pitch w:val="default"/>
    <w:sig w:usb0="00000000" w:usb1="00000000" w:usb2="00000016" w:usb3="00000000" w:csb0="00040001" w:csb1="00000000"/>
  </w:font>
  <w:font w:name="仿宋">
    <w:altName w:val="方正仿宋_GBK"/>
    <w:panose1 w:val="02010609060101010101"/>
    <w:charset w:val="86"/>
    <w:family w:val="auto"/>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楷体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documentProtection w:enforcement="0"/>
  <w:defaultTabStop w:val="420"/>
  <w:drawingGridVerticalSpacing w:val="156"/>
  <w:noPunctuationKerning w:val="true"/>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172A27"/>
    <w:rsid w:val="001A13EF"/>
    <w:rsid w:val="00255B5C"/>
    <w:rsid w:val="00317077"/>
    <w:rsid w:val="003835A1"/>
    <w:rsid w:val="00433D14"/>
    <w:rsid w:val="004F2E8B"/>
    <w:rsid w:val="00591D6C"/>
    <w:rsid w:val="005A5177"/>
    <w:rsid w:val="006E344D"/>
    <w:rsid w:val="00786A2F"/>
    <w:rsid w:val="00B0677C"/>
    <w:rsid w:val="00B10092"/>
    <w:rsid w:val="00B3083A"/>
    <w:rsid w:val="00B340F7"/>
    <w:rsid w:val="00CB27AA"/>
    <w:rsid w:val="00D63F99"/>
    <w:rsid w:val="00DC5655"/>
    <w:rsid w:val="00E37284"/>
    <w:rsid w:val="00F73699"/>
    <w:rsid w:val="00FF668A"/>
    <w:rsid w:val="01F152D9"/>
    <w:rsid w:val="05A9785D"/>
    <w:rsid w:val="16761388"/>
    <w:rsid w:val="1D2B17C7"/>
    <w:rsid w:val="21DD6D63"/>
    <w:rsid w:val="248265AF"/>
    <w:rsid w:val="2FF55DFD"/>
    <w:rsid w:val="4A0A6E67"/>
    <w:rsid w:val="564F5D1C"/>
    <w:rsid w:val="5C7D69DE"/>
    <w:rsid w:val="5E114D3F"/>
    <w:rsid w:val="63A77353"/>
    <w:rsid w:val="63BF5207"/>
    <w:rsid w:val="667F93D8"/>
    <w:rsid w:val="6A6B0A96"/>
    <w:rsid w:val="6E7C69EF"/>
    <w:rsid w:val="74EF59FE"/>
    <w:rsid w:val="782B3A15"/>
    <w:rsid w:val="7B9B5EE4"/>
    <w:rsid w:val="7EBC15E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cs="仿宋_GB2312" w:asciiTheme="minorHAnsi" w:hAnsiTheme="minorHAnsi" w:eastAsiaTheme="minorEastAsia"/>
      <w:kern w:val="21"/>
      <w:sz w:val="32"/>
      <w:szCs w:val="32"/>
      <w:lang w:val="en-US" w:eastAsia="zh-CN" w:bidi="ar-SA"/>
    </w:rPr>
  </w:style>
  <w:style w:type="paragraph" w:styleId="2">
    <w:name w:val="heading 2"/>
    <w:basedOn w:val="1"/>
    <w:next w:val="1"/>
    <w:semiHidden/>
    <w:unhideWhenUsed/>
    <w:qFormat/>
    <w:uiPriority w:val="0"/>
    <w:pPr>
      <w:spacing w:beforeAutospacing="1" w:afterAutospacing="1"/>
      <w:jc w:val="left"/>
      <w:outlineLvl w:val="1"/>
    </w:pPr>
    <w:rPr>
      <w:rFonts w:hint="eastAsia" w:ascii="宋体" w:hAnsi="宋体" w:eastAsia="宋体" w:cs="Times New Roman"/>
      <w:b/>
      <w:kern w:val="0"/>
      <w:sz w:val="36"/>
      <w:szCs w:val="36"/>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0"/>
    <w:qFormat/>
    <w:uiPriority w:val="0"/>
    <w:pPr>
      <w:tabs>
        <w:tab w:val="center" w:pos="4153"/>
        <w:tab w:val="right" w:pos="8306"/>
      </w:tabs>
      <w:snapToGrid w:val="0"/>
      <w:jc w:val="left"/>
    </w:pPr>
    <w:rPr>
      <w:sz w:val="18"/>
      <w:szCs w:val="18"/>
    </w:rPr>
  </w:style>
  <w:style w:type="paragraph" w:styleId="4">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Autospacing="1" w:afterAutospacing="1"/>
      <w:jc w:val="left"/>
    </w:pPr>
    <w:rPr>
      <w:rFonts w:cs="Times New Roman"/>
      <w:kern w:val="0"/>
      <w:sz w:val="24"/>
    </w:rPr>
  </w:style>
  <w:style w:type="character" w:styleId="8">
    <w:name w:val="Hyperlink"/>
    <w:basedOn w:val="7"/>
    <w:qFormat/>
    <w:uiPriority w:val="0"/>
    <w:rPr>
      <w:color w:val="0000FF"/>
      <w:u w:val="single"/>
    </w:rPr>
  </w:style>
  <w:style w:type="character" w:customStyle="1" w:styleId="9">
    <w:name w:val="页眉 Char"/>
    <w:basedOn w:val="7"/>
    <w:link w:val="4"/>
    <w:qFormat/>
    <w:uiPriority w:val="0"/>
    <w:rPr>
      <w:rFonts w:cs="仿宋_GB2312"/>
      <w:kern w:val="21"/>
      <w:sz w:val="18"/>
      <w:szCs w:val="18"/>
    </w:rPr>
  </w:style>
  <w:style w:type="character" w:customStyle="1" w:styleId="10">
    <w:name w:val="页脚 Char"/>
    <w:basedOn w:val="7"/>
    <w:link w:val="3"/>
    <w:qFormat/>
    <w:uiPriority w:val="0"/>
    <w:rPr>
      <w:rFonts w:cs="仿宋_GB2312"/>
      <w:kern w:val="21"/>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Kingsoft</Company>
  <Pages>8</Pages>
  <Words>546</Words>
  <Characters>3113</Characters>
  <Lines>25</Lines>
  <Paragraphs>7</Paragraphs>
  <TotalTime>3</TotalTime>
  <ScaleCrop>false</ScaleCrop>
  <LinksUpToDate>false</LinksUpToDate>
  <CharactersWithSpaces>3652</CharactersWithSpaces>
  <Application>WPS Office_11.8.2.9980_F1E327BC-269C-435d-A152-05C5408002CA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2014-10-30T04:08:00Z</dcterms:created>
  <dc:creator>admin</dc:creator>
  <cp:lastModifiedBy>user</cp:lastModifiedBy>
  <dcterms:modified xsi:type="dcterms:W3CDTF">2023-04-18T13:33:51Z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2052-11.8.2.9980</vt:lpwstr>
  </property>
</Properties>
</file>