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sz w:val="32"/>
          <w:szCs w:val="32"/>
        </w:rPr>
      </w:pPr>
      <w:bookmarkStart w:id="0" w:name="_GoBack"/>
      <w:bookmarkEnd w:id="0"/>
    </w:p>
    <w:p>
      <w:pPr>
        <w:spacing w:line="540" w:lineRule="exact"/>
        <w:rPr>
          <w:sz w:val="32"/>
          <w:szCs w:val="32"/>
        </w:rPr>
      </w:pPr>
    </w:p>
    <w:p>
      <w:pPr>
        <w:spacing w:line="540" w:lineRule="exact"/>
        <w:rPr>
          <w:sz w:val="32"/>
          <w:szCs w:val="32"/>
        </w:rPr>
      </w:pPr>
    </w:p>
    <w:p>
      <w:pPr>
        <w:spacing w:line="540" w:lineRule="exact"/>
        <w:rPr>
          <w:sz w:val="32"/>
          <w:szCs w:val="32"/>
        </w:rPr>
      </w:pPr>
    </w:p>
    <w:tbl>
      <w:tblPr>
        <w:tblStyle w:val="7"/>
        <w:tblW w:w="73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33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7338" w:type="dxa"/>
            <w:tcBorders>
              <w:tl2br w:val="nil"/>
              <w:tr2bl w:val="nil"/>
            </w:tcBorders>
          </w:tcPr>
          <w:p>
            <w:pPr>
              <w:jc w:val="distribute"/>
              <w:rPr>
                <w:rFonts w:ascii="方正小标宋简体" w:eastAsia="方正小标宋简体"/>
                <w:color w:val="FF0000"/>
                <w:spacing w:val="-11"/>
                <w:w w:val="70"/>
                <w:sz w:val="80"/>
                <w:szCs w:val="80"/>
              </w:rPr>
            </w:pPr>
            <w:r>
              <w:rPr>
                <w:rFonts w:ascii="方正小标宋简体" w:eastAsia="方正小标宋简体"/>
                <w:color w:val="FF0000"/>
                <w:spacing w:val="-11"/>
                <w:w w:val="70"/>
                <w:sz w:val="80"/>
                <w:szCs w:val="80"/>
              </w:rPr>
              <mc:AlternateContent>
                <mc:Choice Requires="wps">
                  <w:drawing>
                    <wp:anchor distT="0" distB="0" distL="114300" distR="114300" simplePos="0" relativeHeight="251660288" behindDoc="0" locked="0" layoutInCell="1" allowOverlap="1">
                      <wp:simplePos x="0" y="0"/>
                      <wp:positionH relativeFrom="column">
                        <wp:posOffset>4598670</wp:posOffset>
                      </wp:positionH>
                      <wp:positionV relativeFrom="paragraph">
                        <wp:posOffset>408305</wp:posOffset>
                      </wp:positionV>
                      <wp:extent cx="1333500" cy="990600"/>
                      <wp:effectExtent l="0" t="0" r="0" b="0"/>
                      <wp:wrapNone/>
                      <wp:docPr id="1" name="矩形 5"/>
                      <wp:cNvGraphicFramePr/>
                      <a:graphic xmlns:a="http://schemas.openxmlformats.org/drawingml/2006/main">
                        <a:graphicData uri="http://schemas.microsoft.com/office/word/2010/wordprocessingShape">
                          <wps:wsp>
                            <wps:cNvSpPr/>
                            <wps:spPr>
                              <a:xfrm>
                                <a:off x="0" y="0"/>
                                <a:ext cx="1333500" cy="990600"/>
                              </a:xfrm>
                              <a:prstGeom prst="rect">
                                <a:avLst/>
                              </a:prstGeom>
                              <a:noFill/>
                              <a:ln w="9525">
                                <a:noFill/>
                              </a:ln>
                            </wps:spPr>
                            <wps:txbx>
                              <w:txbxContent>
                                <w:p>
                                  <w:pPr>
                                    <w:rPr>
                                      <w:rFonts w:ascii="方正小标宋简体" w:eastAsia="方正小标宋简体"/>
                                      <w:color w:val="FF0000"/>
                                      <w:sz w:val="84"/>
                                      <w:szCs w:val="84"/>
                                    </w:rPr>
                                  </w:pPr>
                                  <w:r>
                                    <w:rPr>
                                      <w:rFonts w:hint="eastAsia" w:ascii="方正小标宋简体" w:eastAsia="方正小标宋简体"/>
                                      <w:color w:val="FF0000"/>
                                      <w:sz w:val="84"/>
                                      <w:szCs w:val="84"/>
                                    </w:rPr>
                                    <w:t>文件</w:t>
                                  </w:r>
                                </w:p>
                              </w:txbxContent>
                            </wps:txbx>
                            <wps:bodyPr upright="1"/>
                          </wps:wsp>
                        </a:graphicData>
                      </a:graphic>
                    </wp:anchor>
                  </w:drawing>
                </mc:Choice>
                <mc:Fallback>
                  <w:pict>
                    <v:rect id="矩形 5" o:spid="_x0000_s1026" o:spt="1" style="position:absolute;left:0pt;margin-left:362.1pt;margin-top:32.15pt;height:78pt;width:105pt;z-index:251660288;mso-width-relative:page;mso-height-relative:page;" filled="f" stroked="f" coordsize="21600,21600" o:gfxdata="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fxvQ2wAAAAoBAAAPAAAAAAAAAAEAIAAAACIAAABkcnMvZG93&#10;bnJldi54bWxQSwECFAAUAAAACACHTuJAQTLWEYsBAAD8AgAADgAAAAAAAAABACAAAAAqAQAAZHJz&#10;L2Uyb0RvYy54bWxQSwUGAAAAAAYABgBZAQAAJwUAAAAA&#10;">
                      <v:fill on="f" focussize="0,0"/>
                      <v:stroke on="f"/>
                      <v:imagedata o:title=""/>
                      <o:lock v:ext="edit" aspectratio="f"/>
                      <v:textbox>
                        <w:txbxContent>
                          <w:p>
                            <w:pPr>
                              <w:rPr>
                                <w:rFonts w:ascii="方正小标宋简体" w:eastAsia="方正小标宋简体"/>
                                <w:color w:val="FF0000"/>
                                <w:sz w:val="84"/>
                                <w:szCs w:val="84"/>
                              </w:rPr>
                            </w:pPr>
                            <w:r>
                              <w:rPr>
                                <w:rFonts w:hint="eastAsia" w:ascii="方正小标宋简体" w:eastAsia="方正小标宋简体"/>
                                <w:color w:val="FF0000"/>
                                <w:sz w:val="84"/>
                                <w:szCs w:val="84"/>
                              </w:rPr>
                              <w:t>文件</w:t>
                            </w:r>
                          </w:p>
                        </w:txbxContent>
                      </v:textbox>
                    </v:rect>
                  </w:pict>
                </mc:Fallback>
              </mc:AlternateContent>
            </w:r>
            <w:r>
              <w:rPr>
                <w:rFonts w:hint="eastAsia" w:ascii="方正小标宋简体" w:eastAsia="方正小标宋简体"/>
                <w:color w:val="FF0000"/>
                <w:spacing w:val="-11"/>
                <w:w w:val="70"/>
                <w:sz w:val="80"/>
                <w:szCs w:val="80"/>
              </w:rPr>
              <w:t>上海市崇明区农业</w:t>
            </w:r>
            <w:r>
              <w:rPr>
                <w:rFonts w:hint="eastAsia" w:ascii="方正小标宋简体" w:eastAsia="方正小标宋简体"/>
                <w:color w:val="FF0000"/>
                <w:spacing w:val="-11"/>
                <w:w w:val="70"/>
                <w:sz w:val="80"/>
                <w:szCs w:val="80"/>
                <w:lang w:eastAsia="zh-CN"/>
              </w:rPr>
              <w:t>农村</w:t>
            </w:r>
            <w:r>
              <w:rPr>
                <w:rFonts w:hint="eastAsia" w:ascii="方正小标宋简体" w:eastAsia="方正小标宋简体"/>
                <w:color w:val="FF0000"/>
                <w:spacing w:val="-11"/>
                <w:w w:val="70"/>
                <w:sz w:val="80"/>
                <w:szCs w:val="80"/>
              </w:rPr>
              <w:t>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7338" w:type="dxa"/>
            <w:tcBorders>
              <w:tl2br w:val="nil"/>
              <w:tr2bl w:val="nil"/>
            </w:tcBorders>
          </w:tcPr>
          <w:p>
            <w:pPr>
              <w:jc w:val="distribute"/>
              <w:rPr>
                <w:szCs w:val="21"/>
              </w:rPr>
            </w:pPr>
            <w:r>
              <w:rPr>
                <w:rFonts w:hint="eastAsia" w:ascii="方正小标宋简体" w:eastAsia="方正小标宋简体"/>
                <w:color w:val="FF0000"/>
                <w:spacing w:val="-20"/>
                <w:sz w:val="80"/>
                <w:szCs w:val="80"/>
              </w:rPr>
              <w:t>上海市崇明区财政局</w:t>
            </w:r>
          </w:p>
        </w:tc>
      </w:tr>
    </w:tbl>
    <w:p>
      <w:pPr>
        <w:spacing w:line="560" w:lineRule="exact"/>
        <w:rPr>
          <w:szCs w:val="21"/>
        </w:rPr>
      </w:pPr>
    </w:p>
    <w:p>
      <w:pPr>
        <w:spacing w:line="560" w:lineRule="exact"/>
        <w:rPr>
          <w:szCs w:val="21"/>
        </w:rPr>
      </w:pPr>
    </w:p>
    <w:p>
      <w:pPr>
        <w:spacing w:line="560" w:lineRule="exact"/>
        <w:jc w:val="center"/>
        <w:rPr>
          <w:rFonts w:ascii="楷体_GB2312" w:eastAsia="楷体_GB2312"/>
          <w:sz w:val="32"/>
        </w:rPr>
      </w:pPr>
      <w:r>
        <w:rPr>
          <w:rFonts w:hint="eastAsia" w:ascii="仿宋_GB2312" w:eastAsia="仿宋_GB2312"/>
          <w:sz w:val="32"/>
        </w:rPr>
        <w:t>沪崇农发〔20</w:t>
      </w:r>
      <w:r>
        <w:rPr>
          <w:rFonts w:hint="eastAsia" w:ascii="仿宋_GB2312" w:eastAsia="仿宋_GB2312"/>
          <w:sz w:val="32"/>
          <w:lang w:val="en-US" w:eastAsia="zh-CN"/>
        </w:rPr>
        <w:t>20</w:t>
      </w:r>
      <w:r>
        <w:rPr>
          <w:rFonts w:hint="eastAsia" w:ascii="仿宋_GB2312" w:eastAsia="仿宋_GB2312"/>
          <w:sz w:val="32"/>
        </w:rPr>
        <w:t>〕</w:t>
      </w:r>
      <w:r>
        <w:rPr>
          <w:rFonts w:hint="eastAsia" w:ascii="仿宋_GB2312" w:eastAsia="仿宋_GB2312"/>
          <w:sz w:val="32"/>
          <w:lang w:val="en-US" w:eastAsia="zh-CN"/>
        </w:rPr>
        <w:t>2</w:t>
      </w:r>
      <w:r>
        <w:rPr>
          <w:rFonts w:hint="eastAsia" w:ascii="仿宋_GB2312" w:eastAsia="仿宋_GB2312"/>
          <w:sz w:val="32"/>
        </w:rPr>
        <w:t>号</w:t>
      </w:r>
    </w:p>
    <w:p>
      <w:pPr>
        <w:spacing w:line="160" w:lineRule="exact"/>
        <w:rPr>
          <w:color w:val="FF0000"/>
          <w:szCs w:val="21"/>
          <w:u w:val="thick"/>
        </w:rPr>
      </w:pPr>
      <w:r>
        <w:rPr>
          <w:rFonts w:hint="eastAsia"/>
          <w:color w:val="FF0000"/>
          <w:szCs w:val="21"/>
          <w:u w:val="thick"/>
        </w:rPr>
        <w:t xml:space="preserve">                                                                                       </w:t>
      </w:r>
    </w:p>
    <w:p>
      <w:pPr>
        <w:spacing w:line="560" w:lineRule="exact"/>
        <w:rPr>
          <w:color w:val="FF0000"/>
          <w:sz w:val="32"/>
          <w:szCs w:val="32"/>
        </w:rPr>
      </w:pPr>
    </w:p>
    <w:p>
      <w:pPr>
        <w:keepNext w:val="0"/>
        <w:keepLines w:val="0"/>
        <w:pageBreakBefore w:val="0"/>
        <w:widowControl w:val="0"/>
        <w:kinsoku/>
        <w:wordWrap/>
        <w:overflowPunct/>
        <w:topLinePunct w:val="0"/>
        <w:autoSpaceDE/>
        <w:autoSpaceDN/>
        <w:bidi w:val="0"/>
        <w:adjustRightInd/>
        <w:snapToGrid w:val="0"/>
        <w:spacing w:line="560" w:lineRule="exact"/>
        <w:ind w:firstLine="0" w:firstLineChars="0"/>
        <w:jc w:val="center"/>
        <w:textAlignment w:val="auto"/>
        <w:outlineLvl w:val="9"/>
        <w:rPr>
          <w:rFonts w:hint="eastAsia" w:ascii="方正小标宋简体" w:hAnsi="仿宋" w:eastAsia="方正小标宋简体" w:cs="仿宋"/>
          <w:sz w:val="44"/>
          <w:szCs w:val="44"/>
        </w:rPr>
      </w:pPr>
    </w:p>
    <w:p>
      <w:pPr>
        <w:keepNext w:val="0"/>
        <w:keepLines w:val="0"/>
        <w:pageBreakBefore w:val="0"/>
        <w:widowControl w:val="0"/>
        <w:kinsoku/>
        <w:wordWrap/>
        <w:overflowPunct/>
        <w:topLinePunct w:val="0"/>
        <w:autoSpaceDE/>
        <w:autoSpaceDN/>
        <w:bidi w:val="0"/>
        <w:adjustRightInd/>
        <w:snapToGrid w:val="0"/>
        <w:spacing w:line="600" w:lineRule="exact"/>
        <w:ind w:firstLine="0" w:firstLineChars="0"/>
        <w:jc w:val="center"/>
        <w:textAlignment w:val="auto"/>
        <w:outlineLvl w:val="9"/>
        <w:rPr>
          <w:rFonts w:hint="eastAsia" w:ascii="方正小标宋简体" w:hAnsi="仿宋" w:eastAsia="方正小标宋简体" w:cs="仿宋"/>
          <w:sz w:val="44"/>
          <w:szCs w:val="44"/>
        </w:rPr>
      </w:pPr>
      <w:r>
        <w:rPr>
          <w:rFonts w:hint="eastAsia" w:ascii="方正小标宋简体" w:hAnsi="仿宋" w:eastAsia="方正小标宋简体" w:cs="仿宋"/>
          <w:sz w:val="44"/>
          <w:szCs w:val="44"/>
        </w:rPr>
        <w:t>关于印发崇明区促进都市现代绿色农业</w:t>
      </w:r>
    </w:p>
    <w:p>
      <w:pPr>
        <w:keepNext w:val="0"/>
        <w:keepLines w:val="0"/>
        <w:pageBreakBefore w:val="0"/>
        <w:widowControl w:val="0"/>
        <w:kinsoku/>
        <w:wordWrap/>
        <w:overflowPunct/>
        <w:topLinePunct w:val="0"/>
        <w:autoSpaceDE/>
        <w:autoSpaceDN/>
        <w:bidi w:val="0"/>
        <w:adjustRightInd/>
        <w:snapToGrid w:val="0"/>
        <w:spacing w:line="600" w:lineRule="exact"/>
        <w:ind w:firstLine="0" w:firstLineChars="0"/>
        <w:jc w:val="center"/>
        <w:textAlignment w:val="auto"/>
        <w:outlineLvl w:val="9"/>
        <w:rPr>
          <w:rFonts w:ascii="方正小标宋简体" w:hAnsi="仿宋" w:eastAsia="方正小标宋简体" w:cs="仿宋"/>
          <w:sz w:val="44"/>
          <w:szCs w:val="44"/>
        </w:rPr>
      </w:pPr>
      <w:r>
        <w:rPr>
          <w:rFonts w:hint="eastAsia" w:ascii="方正小标宋简体" w:hAnsi="仿宋" w:eastAsia="方正小标宋简体" w:cs="仿宋"/>
          <w:sz w:val="44"/>
          <w:szCs w:val="44"/>
        </w:rPr>
        <w:t>加快发展政策意见的通知</w:t>
      </w:r>
    </w:p>
    <w:p>
      <w:pPr>
        <w:keepNext w:val="0"/>
        <w:keepLines w:val="0"/>
        <w:pageBreakBefore w:val="0"/>
        <w:widowControl w:val="0"/>
        <w:kinsoku/>
        <w:wordWrap/>
        <w:overflowPunct/>
        <w:topLinePunct w:val="0"/>
        <w:autoSpaceDE/>
        <w:autoSpaceDN/>
        <w:bidi w:val="0"/>
        <w:adjustRightInd/>
        <w:snapToGrid w:val="0"/>
        <w:spacing w:line="600" w:lineRule="exact"/>
        <w:ind w:firstLine="0" w:firstLineChars="0"/>
        <w:textAlignment w:val="auto"/>
        <w:outlineLvl w:val="9"/>
        <w:rPr>
          <w:rFonts w:ascii="仿宋_GB2312" w:hAnsi="仿宋" w:eastAsia="仿宋_GB2312" w:cs="仿宋"/>
          <w:sz w:val="32"/>
          <w:szCs w:val="32"/>
        </w:rPr>
      </w:pPr>
    </w:p>
    <w:p>
      <w:pPr>
        <w:keepNext w:val="0"/>
        <w:keepLines w:val="0"/>
        <w:pageBreakBefore w:val="0"/>
        <w:widowControl w:val="0"/>
        <w:kinsoku/>
        <w:wordWrap/>
        <w:overflowPunct/>
        <w:topLinePunct w:val="0"/>
        <w:autoSpaceDE/>
        <w:autoSpaceDN/>
        <w:bidi w:val="0"/>
        <w:adjustRightInd/>
        <w:snapToGrid w:val="0"/>
        <w:spacing w:line="600" w:lineRule="exact"/>
        <w:ind w:firstLine="0" w:firstLineChars="0"/>
        <w:jc w:val="left"/>
        <w:textAlignment w:val="auto"/>
        <w:outlineLvl w:val="9"/>
        <w:rPr>
          <w:rFonts w:ascii="仿宋_GB2312" w:hAnsi="仿宋" w:eastAsia="仿宋_GB2312" w:cs="仿宋"/>
          <w:sz w:val="32"/>
          <w:szCs w:val="32"/>
        </w:rPr>
      </w:pPr>
      <w:r>
        <w:rPr>
          <w:rFonts w:hint="eastAsia" w:ascii="仿宋_GB2312" w:hAnsi="仿宋" w:eastAsia="仿宋_GB2312" w:cs="仿宋"/>
          <w:sz w:val="32"/>
          <w:szCs w:val="32"/>
        </w:rPr>
        <w:t>各乡镇人民政府、相关委办局、在崇市属相关单位：</w:t>
      </w:r>
    </w:p>
    <w:p>
      <w:pPr>
        <w:pStyle w:val="2"/>
        <w:keepNext w:val="0"/>
        <w:keepLines w:val="0"/>
        <w:pageBreakBefore w:val="0"/>
        <w:widowControl w:val="0"/>
        <w:kinsoku/>
        <w:wordWrap/>
        <w:overflowPunct/>
        <w:topLinePunct w:val="0"/>
        <w:autoSpaceDE/>
        <w:autoSpaceDN/>
        <w:bidi w:val="0"/>
        <w:adjustRightInd/>
        <w:spacing w:line="600" w:lineRule="exact"/>
        <w:ind w:firstLine="616" w:firstLineChars="200"/>
        <w:textAlignment w:val="auto"/>
        <w:outlineLvl w:val="9"/>
        <w:rPr>
          <w:rFonts w:ascii="仿宋_GB2312" w:hAnsi="仿宋" w:eastAsia="仿宋_GB2312" w:cs="仿宋"/>
          <w:spacing w:val="-6"/>
          <w:sz w:val="32"/>
          <w:szCs w:val="32"/>
        </w:rPr>
      </w:pPr>
      <w:r>
        <w:rPr>
          <w:rFonts w:hint="eastAsia" w:ascii="仿宋_GB2312" w:hAnsi="仿宋" w:eastAsia="仿宋_GB2312" w:cs="仿宋"/>
          <w:spacing w:val="-6"/>
          <w:sz w:val="32"/>
          <w:szCs w:val="32"/>
        </w:rPr>
        <w:t>为全面深入推进崇明都市现代绿色农业发展，</w:t>
      </w:r>
      <w:r>
        <w:rPr>
          <w:rFonts w:hint="eastAsia" w:ascii="仿宋_GB2312" w:hAnsi="仿宋_GB2312" w:eastAsia="仿宋_GB2312" w:cs="仿宋_GB2312"/>
          <w:spacing w:val="-6"/>
          <w:sz w:val="32"/>
          <w:szCs w:val="32"/>
        </w:rPr>
        <w:t>实</w:t>
      </w:r>
      <w:r>
        <w:rPr>
          <w:rFonts w:hint="eastAsia" w:ascii="仿宋_GB2312" w:hAnsi="仿宋" w:eastAsia="仿宋_GB2312" w:cs="仿宋"/>
          <w:spacing w:val="-6"/>
          <w:sz w:val="32"/>
          <w:szCs w:val="32"/>
        </w:rPr>
        <w:t>现“三高”发展目标，我委研究制定了《崇明区促进都市现代绿色农业加快发展政策意见》。经区政府第</w:t>
      </w:r>
      <w:r>
        <w:rPr>
          <w:rFonts w:hint="eastAsia" w:ascii="仿宋_GB2312" w:hAnsi="仿宋" w:eastAsia="仿宋_GB2312" w:cs="仿宋"/>
          <w:spacing w:val="-6"/>
          <w:sz w:val="32"/>
          <w:szCs w:val="32"/>
          <w:lang w:val="en-US" w:eastAsia="zh-CN"/>
        </w:rPr>
        <w:t>50</w:t>
      </w:r>
      <w:r>
        <w:rPr>
          <w:rFonts w:hint="eastAsia" w:ascii="仿宋_GB2312" w:hAnsi="仿宋" w:eastAsia="仿宋_GB2312" w:cs="仿宋"/>
          <w:spacing w:val="-6"/>
          <w:sz w:val="32"/>
          <w:szCs w:val="32"/>
        </w:rPr>
        <w:t>次常务会议和</w:t>
      </w:r>
      <w:r>
        <w:rPr>
          <w:rFonts w:hint="eastAsia" w:ascii="仿宋_GB2312" w:hAnsi="仿宋" w:eastAsia="仿宋_GB2312" w:cs="仿宋"/>
          <w:spacing w:val="-6"/>
          <w:sz w:val="32"/>
          <w:szCs w:val="32"/>
          <w:lang w:eastAsia="zh-CN"/>
        </w:rPr>
        <w:t>一届区委</w:t>
      </w:r>
      <w:r>
        <w:rPr>
          <w:rFonts w:hint="eastAsia" w:ascii="仿宋_GB2312" w:hAnsi="仿宋" w:eastAsia="仿宋_GB2312" w:cs="仿宋"/>
          <w:spacing w:val="-6"/>
          <w:sz w:val="32"/>
          <w:szCs w:val="32"/>
        </w:rPr>
        <w:t>第</w:t>
      </w:r>
      <w:r>
        <w:rPr>
          <w:rFonts w:hint="eastAsia" w:ascii="仿宋_GB2312" w:hAnsi="仿宋" w:eastAsia="仿宋_GB2312" w:cs="仿宋"/>
          <w:spacing w:val="-6"/>
          <w:sz w:val="32"/>
          <w:szCs w:val="32"/>
          <w:lang w:val="en-US" w:eastAsia="zh-CN"/>
        </w:rPr>
        <w:t>105</w:t>
      </w:r>
      <w:r>
        <w:rPr>
          <w:rFonts w:hint="eastAsia" w:ascii="仿宋_GB2312" w:hAnsi="仿宋" w:eastAsia="仿宋_GB2312" w:cs="仿宋"/>
          <w:spacing w:val="-6"/>
          <w:sz w:val="32"/>
          <w:szCs w:val="32"/>
        </w:rPr>
        <w:t>次</w:t>
      </w:r>
      <w:r>
        <w:rPr>
          <w:rFonts w:hint="eastAsia" w:ascii="仿宋_GB2312" w:hAnsi="仿宋" w:eastAsia="仿宋_GB2312" w:cs="仿宋"/>
          <w:spacing w:val="-6"/>
          <w:sz w:val="32"/>
          <w:szCs w:val="32"/>
          <w:lang w:eastAsia="zh-CN"/>
        </w:rPr>
        <w:t>常委</w:t>
      </w:r>
      <w:r>
        <w:rPr>
          <w:rFonts w:hint="eastAsia" w:ascii="仿宋_GB2312" w:hAnsi="仿宋" w:eastAsia="仿宋_GB2312" w:cs="仿宋"/>
          <w:spacing w:val="-6"/>
          <w:sz w:val="32"/>
          <w:szCs w:val="32"/>
        </w:rPr>
        <w:t>会议审议通过，现印发给你们，请认真按照执行。</w:t>
      </w:r>
    </w:p>
    <w:p>
      <w:pPr>
        <w:pStyle w:val="2"/>
        <w:keepNext w:val="0"/>
        <w:keepLines w:val="0"/>
        <w:pageBreakBefore w:val="0"/>
        <w:widowControl w:val="0"/>
        <w:kinsoku/>
        <w:wordWrap/>
        <w:overflowPunct/>
        <w:topLinePunct w:val="0"/>
        <w:autoSpaceDE/>
        <w:autoSpaceDN/>
        <w:bidi w:val="0"/>
        <w:adjustRightInd/>
        <w:spacing w:line="600" w:lineRule="exact"/>
        <w:ind w:firstLine="640" w:firstLineChars="200"/>
        <w:textAlignment w:val="auto"/>
        <w:outlineLvl w:val="9"/>
        <w:rPr>
          <w:rFonts w:ascii="仿宋_GB2312" w:hAnsi="仿宋" w:eastAsia="仿宋_GB2312" w:cs="仿宋"/>
          <w:sz w:val="32"/>
          <w:szCs w:val="32"/>
        </w:rPr>
      </w:pPr>
      <w:r>
        <w:rPr>
          <w:rFonts w:hint="eastAsia" w:ascii="仿宋_GB2312" w:hAnsi="仿宋" w:eastAsia="仿宋_GB2312" w:cs="仿宋"/>
          <w:sz w:val="32"/>
          <w:szCs w:val="32"/>
        </w:rPr>
        <w:t>特此通知。</w:t>
      </w:r>
    </w:p>
    <w:p>
      <w:pPr>
        <w:pStyle w:val="2"/>
        <w:keepNext w:val="0"/>
        <w:keepLines w:val="0"/>
        <w:pageBreakBefore w:val="0"/>
        <w:widowControl w:val="0"/>
        <w:kinsoku/>
        <w:wordWrap/>
        <w:overflowPunct/>
        <w:topLinePunct w:val="0"/>
        <w:autoSpaceDE/>
        <w:autoSpaceDN/>
        <w:bidi w:val="0"/>
        <w:spacing w:line="560" w:lineRule="exact"/>
        <w:ind w:firstLine="640" w:firstLineChars="200"/>
        <w:outlineLvl w:val="9"/>
        <w:rPr>
          <w:rFonts w:hint="eastAsia" w:ascii="仿宋_GB2312" w:hAnsi="仿宋" w:eastAsia="仿宋_GB2312" w:cs="仿宋"/>
          <w:sz w:val="32"/>
          <w:szCs w:val="32"/>
        </w:rPr>
      </w:pPr>
    </w:p>
    <w:p>
      <w:pPr>
        <w:pStyle w:val="2"/>
        <w:keepNext w:val="0"/>
        <w:keepLines w:val="0"/>
        <w:pageBreakBefore w:val="0"/>
        <w:widowControl w:val="0"/>
        <w:kinsoku/>
        <w:wordWrap/>
        <w:overflowPunct/>
        <w:topLinePunct w:val="0"/>
        <w:autoSpaceDE/>
        <w:autoSpaceDN/>
        <w:bidi w:val="0"/>
        <w:spacing w:line="560" w:lineRule="exact"/>
        <w:ind w:firstLine="640" w:firstLineChars="200"/>
        <w:outlineLvl w:val="9"/>
        <w:rPr>
          <w:rFonts w:ascii="仿宋_GB2312" w:hAnsi="仿宋" w:eastAsia="仿宋_GB2312" w:cs="仿宋"/>
          <w:sz w:val="32"/>
          <w:szCs w:val="32"/>
        </w:rPr>
      </w:pPr>
      <w:r>
        <w:rPr>
          <w:rFonts w:hint="eastAsia" w:ascii="仿宋_GB2312" w:hAnsi="仿宋" w:eastAsia="仿宋_GB2312" w:cs="仿宋"/>
          <w:sz w:val="32"/>
          <w:szCs w:val="32"/>
        </w:rPr>
        <w:t>附件：崇明区促进都市现代绿色农业加快发展政策意见</w:t>
      </w:r>
    </w:p>
    <w:p>
      <w:pPr>
        <w:pStyle w:val="2"/>
        <w:keepNext w:val="0"/>
        <w:keepLines w:val="0"/>
        <w:pageBreakBefore w:val="0"/>
        <w:widowControl w:val="0"/>
        <w:kinsoku/>
        <w:wordWrap/>
        <w:overflowPunct/>
        <w:topLinePunct w:val="0"/>
        <w:autoSpaceDE/>
        <w:autoSpaceDN/>
        <w:bidi w:val="0"/>
        <w:adjustRightInd/>
        <w:snapToGrid/>
        <w:spacing w:line="560" w:lineRule="exact"/>
        <w:ind w:right="800" w:firstLine="0" w:firstLineChars="0"/>
        <w:jc w:val="right"/>
        <w:textAlignment w:val="auto"/>
        <w:outlineLvl w:val="9"/>
        <w:rPr>
          <w:rFonts w:hint="eastAsia" w:ascii="仿宋_GB2312" w:hAnsi="仿宋" w:eastAsia="仿宋_GB2312" w:cs="仿宋"/>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right="800" w:firstLine="0" w:firstLineChars="0"/>
        <w:jc w:val="right"/>
        <w:textAlignment w:val="auto"/>
        <w:outlineLvl w:val="9"/>
        <w:rPr>
          <w:rFonts w:hint="eastAsia" w:ascii="仿宋_GB2312" w:hAnsi="仿宋" w:eastAsia="仿宋_GB2312" w:cs="仿宋"/>
          <w:sz w:val="32"/>
          <w:szCs w:val="32"/>
        </w:rPr>
      </w:pPr>
    </w:p>
    <w:p>
      <w:pPr>
        <w:pStyle w:val="2"/>
        <w:keepNext w:val="0"/>
        <w:keepLines w:val="0"/>
        <w:pageBreakBefore w:val="0"/>
        <w:widowControl w:val="0"/>
        <w:kinsoku/>
        <w:wordWrap/>
        <w:overflowPunct/>
        <w:topLinePunct w:val="0"/>
        <w:autoSpaceDE/>
        <w:autoSpaceDN/>
        <w:bidi w:val="0"/>
        <w:adjustRightInd/>
        <w:snapToGrid/>
        <w:spacing w:line="560" w:lineRule="exact"/>
        <w:ind w:right="800" w:firstLine="0" w:firstLineChars="0"/>
        <w:jc w:val="right"/>
        <w:textAlignment w:val="auto"/>
        <w:outlineLvl w:val="9"/>
        <w:rPr>
          <w:rFonts w:hint="eastAsia" w:ascii="仿宋_GB2312" w:hAnsi="仿宋" w:eastAsia="仿宋_GB2312" w:cs="仿宋"/>
          <w:sz w:val="32"/>
          <w:szCs w:val="32"/>
        </w:rPr>
      </w:pPr>
    </w:p>
    <w:p>
      <w:pPr>
        <w:pStyle w:val="2"/>
        <w:keepNext w:val="0"/>
        <w:keepLines w:val="0"/>
        <w:pageBreakBefore w:val="0"/>
        <w:widowControl w:val="0"/>
        <w:kinsoku/>
        <w:wordWrap w:val="0"/>
        <w:overflowPunct/>
        <w:topLinePunct w:val="0"/>
        <w:autoSpaceDE/>
        <w:autoSpaceDN/>
        <w:bidi w:val="0"/>
        <w:adjustRightInd/>
        <w:snapToGrid/>
        <w:spacing w:line="560" w:lineRule="exact"/>
        <w:ind w:right="800" w:firstLine="0" w:firstLineChars="0"/>
        <w:jc w:val="right"/>
        <w:textAlignment w:val="auto"/>
        <w:outlineLvl w:val="9"/>
        <w:rPr>
          <w:rFonts w:hint="eastAsia" w:ascii="仿宋_GB2312" w:hAnsi="仿宋" w:eastAsia="仿宋_GB2312" w:cs="仿宋"/>
          <w:sz w:val="32"/>
          <w:szCs w:val="32"/>
          <w:lang w:val="en-US" w:eastAsia="zh-CN"/>
        </w:rPr>
      </w:pPr>
      <w:r>
        <w:rPr>
          <w:rFonts w:hint="eastAsia" w:ascii="仿宋_GB2312" w:hAnsi="仿宋" w:eastAsia="仿宋_GB2312" w:cs="仿宋"/>
          <w:sz w:val="32"/>
          <w:szCs w:val="32"/>
        </w:rPr>
        <w:t xml:space="preserve"> 上海市崇明区农业委员会</w:t>
      </w:r>
      <w:r>
        <w:rPr>
          <w:rFonts w:hint="eastAsia" w:ascii="仿宋_GB2312" w:hAnsi="仿宋" w:eastAsia="仿宋_GB2312" w:cs="仿宋"/>
          <w:sz w:val="32"/>
          <w:szCs w:val="32"/>
          <w:lang w:val="en-US" w:eastAsia="zh-CN"/>
        </w:rPr>
        <w:t xml:space="preserve">   上海市崇明区财政局</w:t>
      </w:r>
    </w:p>
    <w:p>
      <w:pPr>
        <w:pStyle w:val="2"/>
        <w:keepNext w:val="0"/>
        <w:keepLines w:val="0"/>
        <w:pageBreakBefore w:val="0"/>
        <w:widowControl w:val="0"/>
        <w:kinsoku/>
        <w:wordWrap/>
        <w:overflowPunct/>
        <w:topLinePunct w:val="0"/>
        <w:autoSpaceDE/>
        <w:autoSpaceDN/>
        <w:bidi w:val="0"/>
        <w:adjustRightInd/>
        <w:snapToGrid/>
        <w:spacing w:after="313" w:afterLines="100" w:line="560" w:lineRule="exact"/>
        <w:ind w:firstLine="0" w:firstLineChars="0"/>
        <w:textAlignment w:val="auto"/>
        <w:outlineLvl w:val="9"/>
        <w:rPr>
          <w:rFonts w:ascii="黑体" w:hAnsi="黑体" w:eastAsia="黑体" w:cs="微软雅黑"/>
          <w:bCs/>
          <w:sz w:val="32"/>
          <w:szCs w:val="32"/>
        </w:rPr>
      </w:pPr>
      <w:r>
        <w:rPr>
          <w:rFonts w:hint="eastAsia" w:ascii="仿宋_GB2312" w:hAnsi="仿宋" w:eastAsia="仿宋_GB2312" w:cs="仿宋"/>
          <w:sz w:val="32"/>
          <w:szCs w:val="32"/>
        </w:rPr>
        <w:t xml:space="preserve">                          </w:t>
      </w:r>
      <w:r>
        <w:rPr>
          <w:rFonts w:hint="eastAsia" w:ascii="仿宋_GB2312" w:hAnsi="仿宋" w:eastAsia="仿宋_GB2312" w:cs="仿宋"/>
          <w:sz w:val="32"/>
          <w:szCs w:val="32"/>
          <w:lang w:val="en-US" w:eastAsia="zh-CN"/>
        </w:rPr>
        <w:t xml:space="preserve">  </w:t>
      </w:r>
      <w:r>
        <w:rPr>
          <w:rFonts w:hint="eastAsia" w:ascii="仿宋_GB2312" w:hAnsi="仿宋" w:eastAsia="仿宋_GB2312" w:cs="仿宋"/>
          <w:sz w:val="32"/>
          <w:szCs w:val="32"/>
        </w:rPr>
        <w:t xml:space="preserve"> </w:t>
      </w:r>
      <w:r>
        <w:rPr>
          <w:rFonts w:hint="eastAsia" w:ascii="仿宋_GB2312" w:hAnsi="仿宋" w:eastAsia="仿宋_GB2312" w:cs="仿宋"/>
          <w:sz w:val="32"/>
          <w:szCs w:val="32"/>
          <w:lang w:val="en-US" w:eastAsia="zh-CN"/>
        </w:rPr>
        <w:t xml:space="preserve">     </w:t>
      </w:r>
      <w:r>
        <w:rPr>
          <w:rFonts w:hint="eastAsia" w:ascii="仿宋_GB2312" w:hAnsi="仿宋" w:eastAsia="仿宋_GB2312" w:cs="仿宋"/>
          <w:sz w:val="32"/>
          <w:szCs w:val="32"/>
        </w:rPr>
        <w:t>20</w:t>
      </w:r>
      <w:r>
        <w:rPr>
          <w:rFonts w:hint="eastAsia" w:ascii="仿宋_GB2312" w:hAnsi="仿宋" w:eastAsia="仿宋_GB2312" w:cs="仿宋"/>
          <w:sz w:val="32"/>
          <w:szCs w:val="32"/>
          <w:lang w:val="en-US" w:eastAsia="zh-CN"/>
        </w:rPr>
        <w:t>20</w:t>
      </w:r>
      <w:r>
        <w:rPr>
          <w:rFonts w:hint="eastAsia" w:ascii="仿宋_GB2312" w:hAnsi="仿宋" w:eastAsia="仿宋_GB2312" w:cs="仿宋"/>
          <w:sz w:val="32"/>
          <w:szCs w:val="32"/>
        </w:rPr>
        <w:t>年1月</w:t>
      </w:r>
      <w:r>
        <w:rPr>
          <w:rFonts w:hint="eastAsia" w:ascii="仿宋_GB2312" w:hAnsi="仿宋" w:eastAsia="仿宋_GB2312" w:cs="仿宋"/>
          <w:sz w:val="32"/>
          <w:szCs w:val="32"/>
          <w:lang w:val="en-US" w:eastAsia="zh-CN"/>
        </w:rPr>
        <w:t>1</w:t>
      </w:r>
      <w:r>
        <w:rPr>
          <w:rFonts w:hint="eastAsia" w:ascii="仿宋_GB2312" w:hAnsi="仿宋" w:eastAsia="仿宋_GB2312" w:cs="仿宋"/>
          <w:sz w:val="32"/>
          <w:szCs w:val="32"/>
        </w:rPr>
        <w:t>日</w:t>
      </w:r>
      <w:r>
        <w:rPr>
          <w:rFonts w:ascii="方正小标宋简体" w:hAnsi="微软雅黑" w:eastAsia="方正小标宋简体" w:cs="微软雅黑"/>
          <w:bCs/>
          <w:sz w:val="44"/>
          <w:szCs w:val="44"/>
        </w:rPr>
        <w:br w:type="page"/>
      </w:r>
      <w:r>
        <w:rPr>
          <w:rFonts w:hint="eastAsia" w:ascii="黑体" w:hAnsi="黑体" w:eastAsia="黑体" w:cs="微软雅黑"/>
          <w:bCs/>
          <w:sz w:val="32"/>
          <w:szCs w:val="32"/>
        </w:rPr>
        <w:t>附件</w:t>
      </w:r>
    </w:p>
    <w:p>
      <w:pPr>
        <w:keepNext w:val="0"/>
        <w:keepLines w:val="0"/>
        <w:pageBreakBefore w:val="0"/>
        <w:widowControl w:val="0"/>
        <w:shd w:val="clear" w:color="auto" w:fill="auto"/>
        <w:kinsoku/>
        <w:wordWrap/>
        <w:overflowPunct/>
        <w:topLinePunct w:val="0"/>
        <w:autoSpaceDE/>
        <w:autoSpaceDN/>
        <w:bidi w:val="0"/>
        <w:adjustRightInd w:val="0"/>
        <w:snapToGrid w:val="0"/>
        <w:spacing w:line="560" w:lineRule="exact"/>
        <w:ind w:firstLine="0" w:firstLineChars="0"/>
        <w:jc w:val="center"/>
        <w:textAlignment w:val="auto"/>
        <w:outlineLvl w:val="9"/>
        <w:rPr>
          <w:rFonts w:ascii="方正小标宋简体" w:hAnsi="微软雅黑" w:eastAsia="方正小标宋简体" w:cs="微软雅黑"/>
          <w:bCs/>
          <w:color w:val="auto"/>
          <w:spacing w:val="0"/>
          <w:w w:val="90"/>
          <w:sz w:val="44"/>
          <w:szCs w:val="44"/>
          <w:highlight w:val="none"/>
          <w:u w:val="none" w:color="auto"/>
        </w:rPr>
      </w:pPr>
      <w:r>
        <w:rPr>
          <w:rFonts w:hint="eastAsia" w:ascii="方正小标宋简体" w:hAnsi="微软雅黑" w:eastAsia="方正小标宋简体" w:cs="微软雅黑"/>
          <w:bCs/>
          <w:color w:val="auto"/>
          <w:spacing w:val="0"/>
          <w:w w:val="90"/>
          <w:sz w:val="44"/>
          <w:szCs w:val="44"/>
          <w:highlight w:val="none"/>
          <w:u w:val="none" w:color="auto"/>
        </w:rPr>
        <w:t>崇明</w:t>
      </w:r>
      <w:r>
        <w:rPr>
          <w:rFonts w:hint="eastAsia" w:ascii="方正小标宋简体" w:hAnsi="微软雅黑" w:eastAsia="方正小标宋简体" w:cs="微软雅黑"/>
          <w:bCs/>
          <w:color w:val="auto"/>
          <w:spacing w:val="0"/>
          <w:w w:val="90"/>
          <w:sz w:val="44"/>
          <w:szCs w:val="44"/>
          <w:highlight w:val="none"/>
          <w:u w:val="none" w:color="auto"/>
          <w:lang w:eastAsia="zh-CN"/>
        </w:rPr>
        <w:t>区促进都市现代绿色</w:t>
      </w:r>
      <w:r>
        <w:rPr>
          <w:rFonts w:hint="eastAsia" w:ascii="方正小标宋简体" w:hAnsi="微软雅黑" w:eastAsia="方正小标宋简体" w:cs="微软雅黑"/>
          <w:bCs/>
          <w:color w:val="auto"/>
          <w:spacing w:val="0"/>
          <w:w w:val="90"/>
          <w:sz w:val="44"/>
          <w:szCs w:val="44"/>
          <w:highlight w:val="none"/>
          <w:u w:val="none" w:color="auto"/>
        </w:rPr>
        <w:t>农业加快发展政策意见</w:t>
      </w:r>
    </w:p>
    <w:p>
      <w:pPr>
        <w:keepNext w:val="0"/>
        <w:keepLines w:val="0"/>
        <w:pageBreakBefore w:val="0"/>
        <w:widowControl w:val="0"/>
        <w:shd w:val="clear" w:color="auto" w:fill="auto"/>
        <w:kinsoku/>
        <w:wordWrap/>
        <w:overflowPunct/>
        <w:topLinePunct w:val="0"/>
        <w:autoSpaceDE/>
        <w:autoSpaceDN/>
        <w:bidi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p>
    <w:p>
      <w:pPr>
        <w:keepNext w:val="0"/>
        <w:keepLines w:val="0"/>
        <w:pageBreakBefore w:val="0"/>
        <w:widowControl w:val="0"/>
        <w:shd w:val="clear" w:color="auto" w:fill="auto"/>
        <w:kinsoku/>
        <w:wordWrap/>
        <w:overflowPunct/>
        <w:topLinePunct w:val="0"/>
        <w:autoSpaceDE/>
        <w:autoSpaceDN/>
        <w:bidi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lang w:eastAsia="zh-CN"/>
        </w:rPr>
        <w:t>为</w:t>
      </w:r>
      <w:r>
        <w:rPr>
          <w:rFonts w:hint="eastAsia" w:ascii="仿宋_GB2312" w:hAnsi="仿宋_GB2312" w:eastAsia="仿宋_GB2312" w:cs="仿宋_GB2312"/>
          <w:color w:val="auto"/>
          <w:sz w:val="32"/>
          <w:szCs w:val="32"/>
          <w:highlight w:val="none"/>
          <w:u w:val="none" w:color="auto"/>
        </w:rPr>
        <w:t>全面</w:t>
      </w:r>
      <w:r>
        <w:rPr>
          <w:rFonts w:hint="eastAsia" w:ascii="仿宋_GB2312" w:hAnsi="仿宋_GB2312" w:eastAsia="仿宋_GB2312" w:cs="仿宋_GB2312"/>
          <w:color w:val="auto"/>
          <w:sz w:val="32"/>
          <w:szCs w:val="32"/>
          <w:highlight w:val="none"/>
          <w:u w:val="none" w:color="auto"/>
          <w:lang w:eastAsia="zh-CN"/>
        </w:rPr>
        <w:t>深入</w:t>
      </w:r>
      <w:r>
        <w:rPr>
          <w:rFonts w:hint="eastAsia" w:ascii="仿宋_GB2312" w:hAnsi="仿宋_GB2312" w:eastAsia="仿宋_GB2312" w:cs="仿宋_GB2312"/>
          <w:color w:val="auto"/>
          <w:sz w:val="32"/>
          <w:szCs w:val="32"/>
          <w:highlight w:val="none"/>
          <w:u w:val="none" w:color="auto"/>
        </w:rPr>
        <w:t>推进</w:t>
      </w:r>
      <w:r>
        <w:rPr>
          <w:rFonts w:hint="eastAsia" w:ascii="仿宋_GB2312" w:hAnsi="仿宋_GB2312" w:eastAsia="仿宋_GB2312" w:cs="仿宋_GB2312"/>
          <w:color w:val="auto"/>
          <w:sz w:val="32"/>
          <w:szCs w:val="32"/>
          <w:highlight w:val="none"/>
          <w:u w:val="none" w:color="auto"/>
          <w:lang w:eastAsia="zh-CN"/>
        </w:rPr>
        <w:t>崇明</w:t>
      </w:r>
      <w:r>
        <w:rPr>
          <w:rFonts w:hint="eastAsia" w:ascii="仿宋_GB2312" w:hAnsi="仿宋_GB2312" w:eastAsia="仿宋_GB2312" w:cs="仿宋_GB2312"/>
          <w:color w:val="auto"/>
          <w:sz w:val="32"/>
          <w:szCs w:val="32"/>
          <w:highlight w:val="none"/>
          <w:u w:val="none" w:color="auto"/>
        </w:rPr>
        <w:t>都市</w:t>
      </w:r>
      <w:r>
        <w:rPr>
          <w:rFonts w:hint="eastAsia" w:ascii="仿宋_GB2312" w:hAnsi="仿宋_GB2312" w:eastAsia="仿宋_GB2312" w:cs="仿宋_GB2312"/>
          <w:color w:val="auto"/>
          <w:sz w:val="32"/>
          <w:szCs w:val="32"/>
          <w:highlight w:val="none"/>
          <w:u w:val="none" w:color="auto"/>
          <w:lang w:eastAsia="zh-CN"/>
        </w:rPr>
        <w:t>现代绿色</w:t>
      </w:r>
      <w:r>
        <w:rPr>
          <w:rFonts w:hint="eastAsia" w:ascii="仿宋_GB2312" w:hAnsi="仿宋_GB2312" w:eastAsia="仿宋_GB2312" w:cs="仿宋_GB2312"/>
          <w:color w:val="auto"/>
          <w:sz w:val="32"/>
          <w:szCs w:val="32"/>
          <w:highlight w:val="none"/>
          <w:u w:val="none" w:color="auto"/>
        </w:rPr>
        <w:t>农业发展，实现“</w:t>
      </w:r>
      <w:r>
        <w:rPr>
          <w:rFonts w:hint="eastAsia" w:ascii="仿宋_GB2312" w:hAnsi="仿宋_GB2312" w:eastAsia="仿宋_GB2312" w:cs="仿宋_GB2312"/>
          <w:color w:val="auto"/>
          <w:sz w:val="32"/>
          <w:szCs w:val="32"/>
          <w:highlight w:val="none"/>
          <w:u w:val="none" w:color="auto"/>
          <w:lang w:eastAsia="zh-CN"/>
        </w:rPr>
        <w:t>高科技、高品质、高附加值</w:t>
      </w:r>
      <w:r>
        <w:rPr>
          <w:rFonts w:hint="eastAsia" w:ascii="仿宋_GB2312" w:hAnsi="仿宋_GB2312" w:eastAsia="仿宋_GB2312" w:cs="仿宋_GB2312"/>
          <w:color w:val="auto"/>
          <w:sz w:val="32"/>
          <w:szCs w:val="32"/>
          <w:highlight w:val="none"/>
          <w:u w:val="none" w:color="auto"/>
        </w:rPr>
        <w:t>”发展目标，特制定本政策意见。</w:t>
      </w:r>
    </w:p>
    <w:p>
      <w:pPr>
        <w:keepNext w:val="0"/>
        <w:keepLines w:val="0"/>
        <w:pageBreakBefore w:val="0"/>
        <w:widowControl w:val="0"/>
        <w:shd w:val="clear" w:color="auto" w:fill="auto"/>
        <w:kinsoku/>
        <w:wordWrap/>
        <w:overflowPunct/>
        <w:topLinePunct w:val="0"/>
        <w:autoSpaceDE/>
        <w:autoSpaceDN/>
        <w:bidi w:val="0"/>
        <w:spacing w:line="560" w:lineRule="exact"/>
        <w:ind w:firstLine="640" w:firstLineChars="200"/>
        <w:jc w:val="both"/>
        <w:textAlignment w:val="auto"/>
        <w:outlineLvl w:val="9"/>
        <w:rPr>
          <w:rFonts w:ascii="黑体" w:hAnsi="黑体" w:eastAsia="黑体" w:cs="黑体"/>
          <w:color w:val="auto"/>
          <w:sz w:val="32"/>
          <w:szCs w:val="32"/>
          <w:highlight w:val="none"/>
          <w:u w:val="none" w:color="auto"/>
        </w:rPr>
      </w:pPr>
      <w:r>
        <w:rPr>
          <w:rFonts w:hint="eastAsia" w:ascii="黑体" w:hAnsi="黑体" w:eastAsia="黑体" w:cs="黑体"/>
          <w:color w:val="auto"/>
          <w:sz w:val="32"/>
          <w:szCs w:val="32"/>
          <w:highlight w:val="none"/>
          <w:u w:val="none" w:color="auto"/>
        </w:rPr>
        <w:t>一、实施对象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楷体_GB2312" w:hAnsi="楷体_GB2312" w:eastAsia="楷体_GB2312" w:cs="楷体_GB2312"/>
          <w:color w:val="auto"/>
          <w:sz w:val="32"/>
          <w:szCs w:val="32"/>
          <w:highlight w:val="none"/>
          <w:u w:val="none" w:color="auto"/>
          <w:lang w:eastAsia="zh-CN"/>
        </w:rPr>
        <w:t>（一）</w:t>
      </w:r>
      <w:r>
        <w:rPr>
          <w:rFonts w:hint="eastAsia" w:ascii="仿宋_GB2312" w:hAnsi="仿宋_GB2312" w:eastAsia="仿宋_GB2312" w:cs="仿宋_GB2312"/>
          <w:color w:val="auto"/>
          <w:sz w:val="32"/>
          <w:szCs w:val="32"/>
          <w:highlight w:val="none"/>
          <w:u w:val="none" w:color="auto"/>
          <w:lang w:eastAsia="zh-CN"/>
        </w:rPr>
        <w:t>注册并落户在本区行政区域内，从事崇明优质农产品生产、加工、销售、运输的企业，农民专业合作社，家庭农场，博士农场，开心农场等生产、经营主体和本市户籍农民</w:t>
      </w:r>
      <w:r>
        <w:rPr>
          <w:rFonts w:hint="eastAsia" w:ascii="仿宋_GB2312" w:hAnsi="仿宋_GB2312" w:eastAsia="仿宋_GB2312" w:cs="仿宋_GB2312"/>
          <w:color w:val="auto"/>
          <w:sz w:val="32"/>
          <w:szCs w:val="32"/>
          <w:highlight w:val="none"/>
          <w:u w:val="none" w:color="auto"/>
          <w:lang w:val="en-US" w:eastAsia="zh-CN"/>
        </w:rPr>
        <w:t>; 经区农业农村委认定，服务订单农业的企业。</w:t>
      </w:r>
    </w:p>
    <w:p>
      <w:pPr>
        <w:keepNext w:val="0"/>
        <w:keepLines w:val="0"/>
        <w:pageBreakBefore w:val="0"/>
        <w:widowControl w:val="0"/>
        <w:shd w:val="clear" w:color="auto" w:fill="auto"/>
        <w:kinsoku/>
        <w:wordWrap/>
        <w:overflowPunct/>
        <w:topLinePunct w:val="0"/>
        <w:autoSpaceDE/>
        <w:autoSpaceDN/>
        <w:bidi w:val="0"/>
        <w:spacing w:line="560" w:lineRule="exact"/>
        <w:ind w:firstLine="640" w:firstLineChars="200"/>
        <w:jc w:val="both"/>
        <w:textAlignment w:val="auto"/>
        <w:outlineLvl w:val="9"/>
        <w:rPr>
          <w:rFonts w:hint="eastAsia" w:ascii="黑体" w:hAnsi="黑体" w:eastAsia="黑体" w:cs="黑体"/>
          <w:color w:val="auto"/>
          <w:sz w:val="32"/>
          <w:szCs w:val="32"/>
          <w:highlight w:val="none"/>
          <w:u w:val="none" w:color="auto"/>
          <w:lang w:val="en-US" w:eastAsia="zh-CN"/>
        </w:rPr>
      </w:pPr>
      <w:r>
        <w:rPr>
          <w:rFonts w:hint="eastAsia" w:ascii="黑体" w:hAnsi="黑体" w:eastAsia="黑体" w:cs="黑体"/>
          <w:color w:val="auto"/>
          <w:sz w:val="32"/>
          <w:szCs w:val="32"/>
          <w:highlight w:val="none"/>
          <w:u w:val="none" w:color="auto"/>
        </w:rPr>
        <w:t>二、</w:t>
      </w:r>
      <w:r>
        <w:rPr>
          <w:rFonts w:hint="eastAsia" w:ascii="黑体" w:hAnsi="黑体" w:eastAsia="黑体" w:cs="黑体"/>
          <w:color w:val="auto"/>
          <w:sz w:val="32"/>
          <w:szCs w:val="32"/>
          <w:highlight w:val="none"/>
          <w:u w:val="none" w:color="auto"/>
          <w:lang w:eastAsia="zh-CN"/>
        </w:rPr>
        <w:t>落实农业普惠制综合补贴</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（二）保护改良耕地质量</w:t>
      </w:r>
    </w:p>
    <w:p>
      <w:pPr>
        <w:keepNext w:val="0"/>
        <w:keepLines w:val="0"/>
        <w:pageBreakBefore w:val="0"/>
        <w:widowControl w:val="0"/>
        <w:shd w:val="clear" w:color="auto" w:fill="auto"/>
        <w:kinsoku/>
        <w:wordWrap/>
        <w:overflowPunct/>
        <w:topLinePunct w:val="0"/>
        <w:autoSpaceDE/>
        <w:autoSpaceDN/>
        <w:bidi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eastAsia="zh-CN"/>
        </w:rPr>
        <w:t>中央、市、区三级财政承担粮田保护补贴。水稻种植直补</w:t>
      </w:r>
      <w:r>
        <w:rPr>
          <w:rFonts w:hint="eastAsia" w:ascii="仿宋_GB2312" w:hAnsi="仿宋_GB2312" w:eastAsia="仿宋_GB2312" w:cs="仿宋_GB2312"/>
          <w:color w:val="auto"/>
          <w:sz w:val="32"/>
          <w:szCs w:val="32"/>
          <w:highlight w:val="none"/>
          <w:u w:val="none" w:color="auto"/>
          <w:lang w:val="en-US" w:eastAsia="zh-CN"/>
        </w:rPr>
        <w:t>198</w:t>
      </w:r>
      <w:r>
        <w:rPr>
          <w:rFonts w:hint="eastAsia" w:ascii="仿宋_GB2312" w:hAnsi="仿宋_GB2312" w:eastAsia="仿宋_GB2312" w:cs="仿宋_GB2312"/>
          <w:color w:val="auto"/>
          <w:sz w:val="32"/>
          <w:szCs w:val="32"/>
          <w:highlight w:val="none"/>
          <w:u w:val="none" w:color="auto"/>
          <w:lang w:eastAsia="zh-CN"/>
        </w:rPr>
        <w:t>元/亩、水稻</w:t>
      </w:r>
      <w:r>
        <w:rPr>
          <w:rFonts w:hint="eastAsia" w:ascii="仿宋_GB2312" w:hAnsi="仿宋_GB2312" w:eastAsia="仿宋_GB2312" w:cs="仿宋_GB2312"/>
          <w:b w:val="0"/>
          <w:bCs w:val="0"/>
          <w:color w:val="auto"/>
          <w:sz w:val="32"/>
          <w:szCs w:val="32"/>
          <w:highlight w:val="none"/>
          <w:u w:val="none" w:color="auto"/>
          <w:lang w:eastAsia="zh-CN"/>
        </w:rPr>
        <w:t>优质</w:t>
      </w:r>
      <w:r>
        <w:rPr>
          <w:rFonts w:hint="eastAsia" w:ascii="仿宋_GB2312" w:hAnsi="仿宋_GB2312" w:eastAsia="仿宋_GB2312" w:cs="仿宋_GB2312"/>
          <w:color w:val="auto"/>
          <w:sz w:val="32"/>
          <w:szCs w:val="32"/>
          <w:highlight w:val="none"/>
          <w:u w:val="none" w:color="auto"/>
          <w:lang w:eastAsia="zh-CN"/>
        </w:rPr>
        <w:t>良种补贴</w:t>
      </w:r>
      <w:r>
        <w:rPr>
          <w:rFonts w:hint="eastAsia" w:ascii="仿宋_GB2312" w:hAnsi="仿宋_GB2312" w:eastAsia="仿宋_GB2312" w:cs="仿宋_GB2312"/>
          <w:color w:val="auto"/>
          <w:sz w:val="32"/>
          <w:szCs w:val="32"/>
          <w:highlight w:val="none"/>
          <w:u w:val="none" w:color="auto"/>
          <w:lang w:val="en-US" w:eastAsia="zh-CN"/>
        </w:rPr>
        <w:t>55元</w:t>
      </w:r>
      <w:r>
        <w:rPr>
          <w:rFonts w:hint="eastAsia" w:ascii="仿宋_GB2312" w:hAnsi="仿宋_GB2312" w:eastAsia="仿宋_GB2312" w:cs="仿宋_GB2312"/>
          <w:color w:val="auto"/>
          <w:sz w:val="32"/>
          <w:szCs w:val="32"/>
          <w:highlight w:val="none"/>
          <w:u w:val="none" w:color="auto"/>
          <w:lang w:eastAsia="zh-CN"/>
        </w:rPr>
        <w:t>/亩、水稻机插秧补贴</w:t>
      </w:r>
      <w:r>
        <w:rPr>
          <w:rFonts w:hint="eastAsia" w:ascii="仿宋_GB2312" w:hAnsi="仿宋_GB2312" w:eastAsia="仿宋_GB2312" w:cs="仿宋_GB2312"/>
          <w:color w:val="auto"/>
          <w:sz w:val="32"/>
          <w:szCs w:val="32"/>
          <w:highlight w:val="none"/>
          <w:u w:val="none" w:color="auto"/>
          <w:lang w:val="en-US" w:eastAsia="zh-CN"/>
        </w:rPr>
        <w:t>80</w:t>
      </w:r>
      <w:r>
        <w:rPr>
          <w:rFonts w:hint="eastAsia" w:ascii="仿宋_GB2312" w:hAnsi="仿宋_GB2312" w:eastAsia="仿宋_GB2312" w:cs="仿宋_GB2312"/>
          <w:color w:val="auto"/>
          <w:sz w:val="32"/>
          <w:szCs w:val="32"/>
          <w:highlight w:val="none"/>
          <w:u w:val="none" w:color="auto"/>
          <w:lang w:eastAsia="zh-CN"/>
        </w:rPr>
        <w:t>元/亩、水稻机插秧专业服务机构补贴55元/亩、水稻机直播补贴30元/亩。</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eastAsia="zh-CN"/>
        </w:rPr>
        <w:t>市、区</w:t>
      </w:r>
      <w:r>
        <w:rPr>
          <w:rFonts w:hint="eastAsia" w:ascii="仿宋_GB2312" w:hAnsi="仿宋_GB2312" w:eastAsia="仿宋_GB2312" w:cs="仿宋_GB2312"/>
          <w:color w:val="auto"/>
          <w:sz w:val="32"/>
          <w:szCs w:val="32"/>
          <w:highlight w:val="none"/>
          <w:u w:val="none" w:color="auto"/>
          <w:lang w:val="en-US" w:eastAsia="zh-CN"/>
        </w:rPr>
        <w:t>两</w:t>
      </w:r>
      <w:r>
        <w:rPr>
          <w:rFonts w:hint="eastAsia" w:ascii="仿宋_GB2312" w:hAnsi="仿宋_GB2312" w:eastAsia="仿宋_GB2312" w:cs="仿宋_GB2312"/>
          <w:color w:val="auto"/>
          <w:sz w:val="32"/>
          <w:szCs w:val="32"/>
          <w:highlight w:val="none"/>
          <w:u w:val="none" w:color="auto"/>
          <w:lang w:eastAsia="zh-CN"/>
        </w:rPr>
        <w:t>级财政承担耕地质量保护与提升补贴。对验收合格的生产主体可享受绿肥种植或冬季深耕作业补贴。其中，</w:t>
      </w:r>
      <w:r>
        <w:rPr>
          <w:rFonts w:hint="eastAsia" w:ascii="仿宋_GB2312" w:hAnsi="仿宋_GB2312" w:eastAsia="仿宋_GB2312" w:cs="仿宋_GB2312"/>
          <w:color w:val="auto"/>
          <w:sz w:val="32"/>
          <w:szCs w:val="32"/>
          <w:highlight w:val="none"/>
          <w:u w:val="none" w:color="auto"/>
          <w:lang w:val="en-US" w:eastAsia="zh-CN"/>
        </w:rPr>
        <w:t>对</w:t>
      </w:r>
      <w:r>
        <w:rPr>
          <w:rFonts w:hint="eastAsia" w:ascii="仿宋_GB2312" w:hAnsi="仿宋_GB2312" w:eastAsia="仿宋_GB2312" w:cs="仿宋_GB2312"/>
          <w:color w:val="auto"/>
          <w:sz w:val="32"/>
          <w:szCs w:val="32"/>
          <w:highlight w:val="none"/>
          <w:u w:val="none" w:color="auto"/>
          <w:lang w:eastAsia="zh-CN"/>
        </w:rPr>
        <w:t>乡镇范围内实施绿肥种植的生产主体补贴380元/亩（2019年为330元/亩）、属地化上报的市和区属生产主体补贴330元/亩（2019年为280元/亩）；对乡镇范围内实施冬季深耕作业的生产主体补贴330元/亩、属地化上报的市和区属生产主体补贴280元/亩。</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lang w:eastAsia="zh-CN"/>
        </w:rPr>
        <w:t>对市下达的推广任务，</w:t>
      </w:r>
      <w:r>
        <w:rPr>
          <w:rFonts w:hint="eastAsia" w:ascii="仿宋_GB2312" w:hAnsi="仿宋_GB2312" w:eastAsia="仿宋_GB2312" w:cs="仿宋_GB2312"/>
          <w:color w:val="auto"/>
          <w:sz w:val="32"/>
          <w:szCs w:val="32"/>
          <w:highlight w:val="none"/>
          <w:u w:val="none" w:color="auto"/>
        </w:rPr>
        <w:t>商品有机肥补贴</w:t>
      </w:r>
      <w:r>
        <w:rPr>
          <w:rFonts w:hint="eastAsia" w:ascii="仿宋_GB2312" w:hAnsi="仿宋_GB2312" w:eastAsia="仿宋_GB2312" w:cs="仿宋_GB2312"/>
          <w:color w:val="auto"/>
          <w:sz w:val="32"/>
          <w:szCs w:val="32"/>
          <w:highlight w:val="none"/>
          <w:u w:val="none" w:color="auto"/>
          <w:lang w:val="en-US" w:eastAsia="zh-CN"/>
        </w:rPr>
        <w:t>4</w:t>
      </w:r>
      <w:r>
        <w:rPr>
          <w:rFonts w:hint="eastAsia" w:ascii="仿宋_GB2312" w:hAnsi="仿宋_GB2312" w:eastAsia="仿宋_GB2312" w:cs="仿宋_GB2312"/>
          <w:color w:val="auto"/>
          <w:sz w:val="32"/>
          <w:szCs w:val="32"/>
          <w:highlight w:val="none"/>
          <w:u w:val="none" w:color="auto"/>
        </w:rPr>
        <w:t>00元/吨、缓释肥补贴</w:t>
      </w:r>
      <w:r>
        <w:rPr>
          <w:rFonts w:hint="eastAsia" w:ascii="仿宋_GB2312" w:hAnsi="仿宋_GB2312" w:eastAsia="仿宋_GB2312" w:cs="仿宋_GB2312"/>
          <w:color w:val="auto"/>
          <w:sz w:val="32"/>
          <w:szCs w:val="32"/>
          <w:highlight w:val="none"/>
          <w:u w:val="none" w:color="auto"/>
          <w:lang w:val="en-US" w:eastAsia="zh-CN"/>
        </w:rPr>
        <w:t>10</w:t>
      </w:r>
      <w:r>
        <w:rPr>
          <w:rFonts w:hint="eastAsia" w:ascii="仿宋_GB2312" w:hAnsi="仿宋_GB2312" w:eastAsia="仿宋_GB2312" w:cs="仿宋_GB2312"/>
          <w:color w:val="auto"/>
          <w:sz w:val="32"/>
          <w:szCs w:val="32"/>
          <w:highlight w:val="none"/>
          <w:u w:val="none" w:color="auto"/>
        </w:rPr>
        <w:t>0元/亩。</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（三）执行蔬菜综合直补</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对常年蔬菜种植10亩以上（含10亩）的农户或种植单位实施蔬菜综合直补，区级配套30元/亩。</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（四）鼓励秸秆综合利用</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rPr>
        <w:t>对水稻</w:t>
      </w:r>
      <w:r>
        <w:rPr>
          <w:rFonts w:hint="eastAsia" w:ascii="仿宋_GB2312" w:hAnsi="仿宋_GB2312" w:eastAsia="仿宋_GB2312" w:cs="仿宋_GB2312"/>
          <w:color w:val="auto"/>
          <w:sz w:val="32"/>
          <w:szCs w:val="32"/>
          <w:highlight w:val="none"/>
          <w:u w:val="none" w:color="auto"/>
          <w:lang w:eastAsia="zh-CN"/>
        </w:rPr>
        <w:t>、</w:t>
      </w:r>
      <w:r>
        <w:rPr>
          <w:rFonts w:hint="eastAsia" w:ascii="仿宋_GB2312" w:hAnsi="仿宋_GB2312" w:eastAsia="仿宋_GB2312" w:cs="仿宋_GB2312"/>
          <w:color w:val="auto"/>
          <w:sz w:val="32"/>
          <w:szCs w:val="32"/>
          <w:highlight w:val="none"/>
          <w:u w:val="none" w:color="auto"/>
          <w:lang w:val="en-US" w:eastAsia="zh-CN"/>
        </w:rPr>
        <w:t>油菜</w:t>
      </w:r>
      <w:r>
        <w:rPr>
          <w:rFonts w:hint="eastAsia" w:ascii="仿宋_GB2312" w:hAnsi="仿宋_GB2312" w:eastAsia="仿宋_GB2312" w:cs="仿宋_GB2312"/>
          <w:color w:val="auto"/>
          <w:sz w:val="32"/>
          <w:szCs w:val="32"/>
          <w:highlight w:val="none"/>
          <w:u w:val="none" w:color="auto"/>
        </w:rPr>
        <w:t>秸秆</w:t>
      </w:r>
      <w:r>
        <w:rPr>
          <w:rFonts w:hint="eastAsia" w:ascii="仿宋_GB2312" w:hAnsi="仿宋_GB2312" w:eastAsia="仿宋_GB2312" w:cs="仿宋_GB2312"/>
          <w:color w:val="auto"/>
          <w:sz w:val="32"/>
          <w:szCs w:val="32"/>
          <w:highlight w:val="none"/>
          <w:u w:val="none" w:color="auto"/>
          <w:lang w:eastAsia="zh-CN"/>
        </w:rPr>
        <w:t>实施</w:t>
      </w:r>
      <w:r>
        <w:rPr>
          <w:rFonts w:hint="eastAsia" w:ascii="仿宋_GB2312" w:hAnsi="仿宋_GB2312" w:eastAsia="仿宋_GB2312" w:cs="仿宋_GB2312"/>
          <w:color w:val="auto"/>
          <w:sz w:val="32"/>
          <w:szCs w:val="32"/>
          <w:highlight w:val="none"/>
          <w:u w:val="none" w:color="auto"/>
        </w:rPr>
        <w:t>机械化还田的本市农机户、农机服务组织及相关</w:t>
      </w:r>
      <w:r>
        <w:rPr>
          <w:rFonts w:hint="eastAsia" w:ascii="仿宋_GB2312" w:hAnsi="仿宋_GB2312" w:eastAsia="仿宋_GB2312" w:cs="仿宋_GB2312"/>
          <w:color w:val="auto"/>
          <w:sz w:val="32"/>
          <w:szCs w:val="32"/>
          <w:highlight w:val="none"/>
          <w:u w:val="none" w:color="auto"/>
          <w:lang w:eastAsia="zh-CN"/>
        </w:rPr>
        <w:t>农业</w:t>
      </w:r>
      <w:r>
        <w:rPr>
          <w:rFonts w:hint="eastAsia" w:ascii="仿宋_GB2312" w:hAnsi="仿宋_GB2312" w:eastAsia="仿宋_GB2312" w:cs="仿宋_GB2312"/>
          <w:color w:val="auto"/>
          <w:sz w:val="32"/>
          <w:szCs w:val="32"/>
          <w:highlight w:val="none"/>
          <w:u w:val="none" w:color="auto"/>
        </w:rPr>
        <w:t>企业补贴50元/亩。</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rPr>
        <w:t>对收购本区行政区域内的</w:t>
      </w:r>
      <w:r>
        <w:rPr>
          <w:rFonts w:hint="eastAsia" w:ascii="仿宋_GB2312" w:hAnsi="仿宋_GB2312" w:eastAsia="仿宋_GB2312" w:cs="仿宋_GB2312"/>
          <w:color w:val="auto"/>
          <w:sz w:val="32"/>
          <w:szCs w:val="32"/>
          <w:highlight w:val="none"/>
          <w:u w:val="none" w:color="auto"/>
          <w:lang w:val="en-US" w:eastAsia="zh-CN"/>
        </w:rPr>
        <w:t>水稻、油菜</w:t>
      </w:r>
      <w:r>
        <w:rPr>
          <w:rFonts w:hint="eastAsia" w:ascii="仿宋_GB2312" w:hAnsi="仿宋_GB2312" w:eastAsia="仿宋_GB2312" w:cs="仿宋_GB2312"/>
          <w:color w:val="auto"/>
          <w:sz w:val="32"/>
          <w:szCs w:val="32"/>
          <w:highlight w:val="none"/>
          <w:u w:val="none" w:color="auto"/>
        </w:rPr>
        <w:t>秸秆</w:t>
      </w:r>
      <w:r>
        <w:rPr>
          <w:rFonts w:hint="eastAsia" w:ascii="仿宋_GB2312" w:hAnsi="仿宋_GB2312" w:eastAsia="仿宋_GB2312" w:cs="仿宋_GB2312"/>
          <w:color w:val="auto"/>
          <w:sz w:val="32"/>
          <w:szCs w:val="32"/>
          <w:highlight w:val="none"/>
          <w:u w:val="none" w:color="auto"/>
          <w:lang w:eastAsia="zh-CN"/>
        </w:rPr>
        <w:t>，并在本市实施离田利用</w:t>
      </w:r>
      <w:r>
        <w:rPr>
          <w:rFonts w:hint="eastAsia" w:ascii="仿宋_GB2312" w:hAnsi="仿宋_GB2312" w:eastAsia="仿宋_GB2312" w:cs="仿宋_GB2312"/>
          <w:color w:val="auto"/>
          <w:sz w:val="32"/>
          <w:szCs w:val="32"/>
          <w:highlight w:val="none"/>
          <w:u w:val="none" w:color="auto"/>
        </w:rPr>
        <w:t>的单位，按秸秆实际利用量补贴3</w:t>
      </w:r>
      <w:r>
        <w:rPr>
          <w:rFonts w:hint="eastAsia" w:ascii="仿宋_GB2312" w:hAnsi="仿宋_GB2312" w:eastAsia="仿宋_GB2312" w:cs="仿宋_GB2312"/>
          <w:color w:val="auto"/>
          <w:sz w:val="32"/>
          <w:szCs w:val="32"/>
          <w:highlight w:val="none"/>
          <w:u w:val="none" w:color="auto"/>
          <w:lang w:eastAsia="zh-CN"/>
        </w:rPr>
        <w:t>3</w:t>
      </w:r>
      <w:r>
        <w:rPr>
          <w:rFonts w:hint="eastAsia" w:ascii="仿宋_GB2312" w:hAnsi="仿宋_GB2312" w:eastAsia="仿宋_GB2312" w:cs="仿宋_GB2312"/>
          <w:color w:val="auto"/>
          <w:sz w:val="32"/>
          <w:szCs w:val="32"/>
          <w:highlight w:val="none"/>
          <w:u w:val="none" w:color="auto"/>
          <w:lang w:val="en-US" w:eastAsia="zh-CN"/>
        </w:rPr>
        <w:t>0</w:t>
      </w:r>
      <w:r>
        <w:rPr>
          <w:rFonts w:hint="eastAsia" w:ascii="仿宋_GB2312" w:hAnsi="仿宋_GB2312" w:eastAsia="仿宋_GB2312" w:cs="仿宋_GB2312"/>
          <w:color w:val="auto"/>
          <w:sz w:val="32"/>
          <w:szCs w:val="32"/>
          <w:highlight w:val="none"/>
          <w:u w:val="none" w:color="auto"/>
        </w:rPr>
        <w:t>元/吨。</w:t>
      </w:r>
    </w:p>
    <w:p>
      <w:pPr>
        <w:keepNext w:val="0"/>
        <w:keepLines w:val="0"/>
        <w:pageBreakBefore w:val="0"/>
        <w:widowControl w:val="0"/>
        <w:shd w:val="clear" w:color="auto" w:fill="auto"/>
        <w:kinsoku/>
        <w:wordWrap/>
        <w:overflowPunct/>
        <w:topLinePunct w:val="0"/>
        <w:autoSpaceDE/>
        <w:autoSpaceDN/>
        <w:bidi w:val="0"/>
        <w:spacing w:line="560" w:lineRule="exact"/>
        <w:ind w:firstLine="640" w:firstLineChars="200"/>
        <w:jc w:val="both"/>
        <w:textAlignment w:val="auto"/>
        <w:outlineLvl w:val="9"/>
        <w:rPr>
          <w:rFonts w:hint="eastAsia" w:ascii="黑体" w:hAnsi="黑体" w:eastAsia="黑体" w:cs="黑体"/>
          <w:i w:val="0"/>
          <w:caps w:val="0"/>
          <w:color w:val="auto"/>
          <w:spacing w:val="0"/>
          <w:sz w:val="32"/>
          <w:szCs w:val="32"/>
          <w:highlight w:val="none"/>
          <w:u w:val="none" w:color="auto"/>
          <w:shd w:val="clear" w:color="auto" w:fill="FFFFFF"/>
          <w:lang w:eastAsia="zh-CN"/>
        </w:rPr>
      </w:pPr>
      <w:r>
        <w:rPr>
          <w:rFonts w:hint="eastAsia" w:ascii="黑体" w:hAnsi="黑体" w:eastAsia="黑体" w:cs="黑体"/>
          <w:i w:val="0"/>
          <w:caps w:val="0"/>
          <w:color w:val="auto"/>
          <w:spacing w:val="0"/>
          <w:sz w:val="32"/>
          <w:szCs w:val="32"/>
          <w:highlight w:val="none"/>
          <w:u w:val="none" w:color="auto"/>
          <w:shd w:val="clear" w:color="auto" w:fill="FFFFFF"/>
          <w:lang w:eastAsia="zh-CN"/>
        </w:rPr>
        <w:t>三、壮大绿色特色产业</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val="en-US" w:eastAsia="zh-CN"/>
        </w:rPr>
        <w:t>（五）</w:t>
      </w:r>
      <w:r>
        <w:rPr>
          <w:rFonts w:hint="eastAsia" w:ascii="楷体_GB2312" w:hAnsi="楷体_GB2312" w:eastAsia="楷体_GB2312" w:cs="楷体_GB2312"/>
          <w:b w:val="0"/>
          <w:bCs w:val="0"/>
          <w:color w:val="auto"/>
          <w:sz w:val="32"/>
          <w:szCs w:val="32"/>
          <w:highlight w:val="none"/>
          <w:u w:val="none" w:color="auto"/>
          <w:lang w:eastAsia="zh-CN"/>
        </w:rPr>
        <w:t>聚焦崇明“两无化”农产品</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黑体" w:hAnsi="黑体" w:eastAsia="黑体" w:cs="黑体"/>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对区农业农村委认定的“两无化”水稻、蔬菜、林果生产主体实施生产叠加补贴 600元/亩；实施高浓度有机肥补贴1000元/吨。实施崇明“两无化”农产品收入保险，补贴保费的90%。</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val="en-US" w:eastAsia="zh-CN"/>
        </w:rPr>
      </w:pPr>
      <w:r>
        <w:rPr>
          <w:rFonts w:hint="eastAsia" w:ascii="楷体_GB2312" w:hAnsi="楷体_GB2312" w:eastAsia="楷体_GB2312" w:cs="楷体_GB2312"/>
          <w:b w:val="0"/>
          <w:bCs w:val="0"/>
          <w:color w:val="auto"/>
          <w:sz w:val="32"/>
          <w:szCs w:val="32"/>
          <w:highlight w:val="none"/>
          <w:u w:val="none" w:color="auto"/>
          <w:lang w:val="en-US" w:eastAsia="zh-CN"/>
        </w:rPr>
        <w:t>（六）提升土壤质量</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对区农业农村委认定的农业生产区域，应用微生物菌肥提升土壤有机质含量，补贴480元</w:t>
      </w:r>
      <w:r>
        <w:rPr>
          <w:rFonts w:hint="default" w:ascii="仿宋_GB2312" w:hAnsi="仿宋_GB2312" w:eastAsia="仿宋_GB2312" w:cs="仿宋_GB2312"/>
          <w:color w:val="auto"/>
          <w:sz w:val="32"/>
          <w:szCs w:val="32"/>
          <w:highlight w:val="none"/>
          <w:u w:val="none" w:color="auto"/>
          <w:lang w:val="en-US" w:eastAsia="zh-CN"/>
        </w:rPr>
        <w:t>/</w:t>
      </w:r>
      <w:r>
        <w:rPr>
          <w:rFonts w:hint="eastAsia" w:ascii="仿宋_GB2312" w:hAnsi="仿宋_GB2312" w:eastAsia="仿宋_GB2312" w:cs="仿宋_GB2312"/>
          <w:color w:val="auto"/>
          <w:sz w:val="32"/>
          <w:szCs w:val="32"/>
          <w:highlight w:val="none"/>
          <w:u w:val="none" w:color="auto"/>
          <w:lang w:val="en-US" w:eastAsia="zh-CN"/>
        </w:rPr>
        <w:t>亩。</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（七）促进绿色蔬菜高品质</w:t>
      </w:r>
    </w:p>
    <w:p>
      <w:pPr>
        <w:keepNext w:val="0"/>
        <w:keepLines w:val="0"/>
        <w:pageBreakBefore w:val="0"/>
        <w:widowControl w:val="0"/>
        <w:numPr>
          <w:ilvl w:val="0"/>
          <w:numId w:val="0"/>
        </w:numPr>
        <w:shd w:val="clear" w:color="auto" w:fill="auto"/>
        <w:kinsoku/>
        <w:wordWrap/>
        <w:overflowPunct/>
        <w:topLinePunct w:val="0"/>
        <w:autoSpaceDE/>
        <w:autoSpaceDN/>
        <w:bidi w:val="0"/>
        <w:spacing w:line="560" w:lineRule="exact"/>
        <w:ind w:left="19" w:leftChars="9"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eastAsia="zh-CN"/>
        </w:rPr>
        <w:t>对申报或通过绿色、有机食品认证，常年种植蔬菜</w:t>
      </w:r>
      <w:r>
        <w:rPr>
          <w:rFonts w:hint="eastAsia" w:ascii="仿宋_GB2312" w:hAnsi="仿宋_GB2312" w:eastAsia="仿宋_GB2312" w:cs="仿宋_GB2312"/>
          <w:color w:val="auto"/>
          <w:sz w:val="32"/>
          <w:szCs w:val="32"/>
          <w:highlight w:val="none"/>
          <w:u w:val="none" w:color="auto"/>
          <w:lang w:val="en-US" w:eastAsia="zh-CN"/>
        </w:rPr>
        <w:t>100亩以上的主体实施分类补贴，绿叶菜核心生产基地补贴1100元/亩，蔬菜专业化生产基地补贴500元/亩。</w:t>
      </w:r>
    </w:p>
    <w:p>
      <w:pPr>
        <w:keepNext w:val="0"/>
        <w:keepLines w:val="0"/>
        <w:pageBreakBefore w:val="0"/>
        <w:widowControl w:val="0"/>
        <w:numPr>
          <w:ilvl w:val="0"/>
          <w:numId w:val="0"/>
        </w:numPr>
        <w:shd w:val="clear" w:color="auto" w:fill="auto"/>
        <w:kinsoku/>
        <w:wordWrap/>
        <w:overflowPunct/>
        <w:topLinePunct w:val="0"/>
        <w:autoSpaceDE/>
        <w:autoSpaceDN/>
        <w:bidi w:val="0"/>
        <w:spacing w:line="560" w:lineRule="exact"/>
        <w:ind w:left="19" w:leftChars="9"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lang w:val="en-US" w:eastAsia="zh-CN"/>
        </w:rPr>
        <w:t>按照先建后补原则，鼓励乡镇基地整建制推进绿色蔬菜集成技术，对符合条件且</w:t>
      </w:r>
      <w:r>
        <w:rPr>
          <w:rFonts w:hint="eastAsia" w:ascii="仿宋_GB2312" w:hAnsi="仿宋_GB2312" w:eastAsia="仿宋_GB2312" w:cs="仿宋_GB2312"/>
          <w:color w:val="auto"/>
          <w:sz w:val="32"/>
          <w:szCs w:val="32"/>
          <w:highlight w:val="none"/>
          <w:u w:val="none" w:color="auto"/>
          <w:lang w:eastAsia="zh-CN"/>
        </w:rPr>
        <w:t>常年种植蔬菜</w:t>
      </w:r>
      <w:r>
        <w:rPr>
          <w:rFonts w:hint="eastAsia" w:ascii="仿宋_GB2312" w:hAnsi="仿宋_GB2312" w:eastAsia="仿宋_GB2312" w:cs="仿宋_GB2312"/>
          <w:color w:val="auto"/>
          <w:sz w:val="32"/>
          <w:szCs w:val="32"/>
          <w:highlight w:val="none"/>
          <w:u w:val="none" w:color="auto"/>
          <w:lang w:val="en-US" w:eastAsia="zh-CN"/>
        </w:rPr>
        <w:t>100亩以上(崇明特色蔬菜除外）的</w:t>
      </w:r>
      <w:r>
        <w:rPr>
          <w:rFonts w:hint="eastAsia" w:ascii="仿宋_GB2312" w:hAnsi="仿宋_GB2312" w:eastAsia="仿宋_GB2312" w:cs="仿宋_GB2312"/>
          <w:color w:val="auto"/>
          <w:sz w:val="32"/>
          <w:szCs w:val="32"/>
          <w:highlight w:val="none"/>
          <w:u w:val="none" w:color="auto"/>
          <w:lang w:eastAsia="zh-CN"/>
        </w:rPr>
        <w:t>蔬菜</w:t>
      </w:r>
      <w:r>
        <w:rPr>
          <w:rFonts w:hint="eastAsia" w:ascii="仿宋_GB2312" w:hAnsi="仿宋_GB2312" w:eastAsia="仿宋_GB2312" w:cs="仿宋_GB2312"/>
          <w:color w:val="auto"/>
          <w:sz w:val="32"/>
          <w:szCs w:val="32"/>
          <w:highlight w:val="none"/>
          <w:u w:val="none" w:color="auto"/>
          <w:lang w:val="en-US" w:eastAsia="zh-CN"/>
        </w:rPr>
        <w:t>生产主体推广应用绿色防控、水肥一体化、地布地膜、土壤保育与改良等技术，每亩补贴</w:t>
      </w:r>
      <w:r>
        <w:rPr>
          <w:rFonts w:ascii="仿宋_GB2312" w:hAnsi="仿宋_GB2312" w:eastAsia="仿宋_GB2312" w:cs="仿宋_GB2312"/>
          <w:color w:val="auto"/>
          <w:sz w:val="32"/>
          <w:szCs w:val="32"/>
          <w:highlight w:val="none"/>
          <w:u w:val="none" w:color="auto"/>
        </w:rPr>
        <w:t>不</w:t>
      </w:r>
      <w:r>
        <w:rPr>
          <w:rFonts w:hint="eastAsia" w:ascii="仿宋_GB2312" w:hAnsi="仿宋_GB2312" w:eastAsia="仿宋_GB2312" w:cs="仿宋_GB2312"/>
          <w:color w:val="auto"/>
          <w:sz w:val="32"/>
          <w:szCs w:val="32"/>
          <w:highlight w:val="none"/>
          <w:u w:val="none" w:color="auto"/>
          <w:lang w:val="en-US" w:eastAsia="zh-CN"/>
        </w:rPr>
        <w:t>高于</w:t>
      </w:r>
      <w:r>
        <w:rPr>
          <w:rFonts w:hint="eastAsia" w:ascii="仿宋_GB2312" w:hAnsi="仿宋_GB2312" w:eastAsia="仿宋_GB2312" w:cs="仿宋_GB2312"/>
          <w:color w:val="auto"/>
          <w:sz w:val="32"/>
          <w:szCs w:val="32"/>
          <w:highlight w:val="none"/>
          <w:u w:val="none" w:color="auto"/>
          <w:lang w:eastAsia="zh-CN"/>
        </w:rPr>
        <w:t>区农业农村委</w:t>
      </w:r>
      <w:r>
        <w:rPr>
          <w:rFonts w:ascii="仿宋_GB2312" w:hAnsi="仿宋_GB2312" w:eastAsia="仿宋_GB2312" w:cs="仿宋_GB2312"/>
          <w:color w:val="auto"/>
          <w:sz w:val="32"/>
          <w:szCs w:val="32"/>
          <w:highlight w:val="none"/>
          <w:u w:val="none" w:color="auto"/>
        </w:rPr>
        <w:t>制定的标准。</w:t>
      </w:r>
    </w:p>
    <w:p>
      <w:pPr>
        <w:keepNext w:val="0"/>
        <w:keepLines w:val="0"/>
        <w:pageBreakBefore w:val="0"/>
        <w:widowControl w:val="0"/>
        <w:numPr>
          <w:ilvl w:val="0"/>
          <w:numId w:val="0"/>
        </w:numPr>
        <w:shd w:val="clear" w:color="auto" w:fill="auto"/>
        <w:kinsoku/>
        <w:wordWrap/>
        <w:overflowPunct/>
        <w:topLinePunct w:val="0"/>
        <w:autoSpaceDE/>
        <w:autoSpaceDN/>
        <w:bidi w:val="0"/>
        <w:spacing w:line="560" w:lineRule="exact"/>
        <w:ind w:left="19" w:leftChars="9"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eastAsia="zh-CN"/>
        </w:rPr>
        <w:t>经区农业农村委认定，实施崇明特色蔬菜种源提升及规模化种植，对连片规模化种植小菠菜、白扁豆、香酥芋、红皮土豆、山药，种植30亩以上的主体，补贴1100元/亩，对连片规模化种植金瓜、青皮茄子，种植100亩以上的主体，补贴5</w:t>
      </w:r>
      <w:r>
        <w:rPr>
          <w:rFonts w:hint="eastAsia" w:ascii="仿宋_GB2312" w:hAnsi="仿宋_GB2312" w:eastAsia="仿宋_GB2312" w:cs="仿宋_GB2312"/>
          <w:color w:val="auto"/>
          <w:sz w:val="32"/>
          <w:szCs w:val="32"/>
          <w:highlight w:val="none"/>
          <w:u w:val="none" w:color="auto"/>
          <w:lang w:val="en-US" w:eastAsia="zh-CN"/>
        </w:rPr>
        <w:t>0</w:t>
      </w:r>
      <w:r>
        <w:rPr>
          <w:rFonts w:hint="eastAsia" w:ascii="仿宋_GB2312" w:hAnsi="仿宋_GB2312" w:eastAsia="仿宋_GB2312" w:cs="仿宋_GB2312"/>
          <w:color w:val="auto"/>
          <w:sz w:val="32"/>
          <w:szCs w:val="32"/>
          <w:highlight w:val="none"/>
          <w:u w:val="none" w:color="auto"/>
          <w:lang w:eastAsia="zh-CN"/>
        </w:rPr>
        <w:t>0元/亩。</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（八）发展崇明特色养殖业</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仿宋_GB2312" w:eastAsia="仿宋_GB2312"/>
          <w:color w:val="auto"/>
          <w:sz w:val="32"/>
          <w:szCs w:val="32"/>
          <w:highlight w:val="none"/>
          <w:u w:val="none" w:color="auto"/>
        </w:rPr>
      </w:pPr>
      <w:r>
        <w:rPr>
          <w:rFonts w:hint="eastAsia" w:ascii="仿宋_GB2312" w:eastAsia="仿宋_GB2312"/>
          <w:color w:val="auto"/>
          <w:sz w:val="32"/>
          <w:szCs w:val="32"/>
          <w:highlight w:val="none"/>
          <w:u w:val="none" w:color="auto"/>
          <w:lang w:eastAsia="zh-CN"/>
        </w:rPr>
        <w:t>实施</w:t>
      </w:r>
      <w:r>
        <w:rPr>
          <w:rFonts w:hint="eastAsia" w:ascii="仿宋_GB2312" w:eastAsia="仿宋_GB2312"/>
          <w:color w:val="auto"/>
          <w:sz w:val="32"/>
          <w:szCs w:val="32"/>
          <w:highlight w:val="none"/>
          <w:u w:val="none" w:color="auto"/>
        </w:rPr>
        <w:t>崇明白山羊种羊补贴</w:t>
      </w:r>
      <w:r>
        <w:rPr>
          <w:rFonts w:hint="eastAsia" w:ascii="仿宋_GB2312" w:eastAsia="仿宋_GB2312"/>
          <w:color w:val="auto"/>
          <w:sz w:val="32"/>
          <w:szCs w:val="32"/>
          <w:highlight w:val="none"/>
          <w:u w:val="none" w:color="auto"/>
          <w:lang w:eastAsia="zh-CN"/>
        </w:rPr>
        <w:t>，从区保种场、扩繁场购买或由规模化羊场</w:t>
      </w:r>
      <w:r>
        <w:rPr>
          <w:rFonts w:hint="eastAsia" w:ascii="仿宋_GB2312" w:eastAsia="仿宋_GB2312"/>
          <w:color w:val="auto"/>
          <w:sz w:val="32"/>
          <w:szCs w:val="32"/>
          <w:highlight w:val="none"/>
          <w:u w:val="none" w:color="auto"/>
        </w:rPr>
        <w:t>（崇明白山羊能繁母羊</w:t>
      </w:r>
      <w:r>
        <w:rPr>
          <w:rFonts w:hint="eastAsia" w:ascii="仿宋_GB2312" w:eastAsia="仿宋_GB2312"/>
          <w:color w:val="auto"/>
          <w:sz w:val="32"/>
          <w:szCs w:val="32"/>
          <w:highlight w:val="none"/>
          <w:u w:val="none" w:color="auto"/>
          <w:lang w:val="en-US" w:eastAsia="zh-CN"/>
        </w:rPr>
        <w:t>3</w:t>
      </w:r>
      <w:r>
        <w:rPr>
          <w:rFonts w:hint="eastAsia" w:ascii="仿宋_GB2312" w:eastAsia="仿宋_GB2312"/>
          <w:color w:val="auto"/>
          <w:sz w:val="32"/>
          <w:szCs w:val="32"/>
          <w:highlight w:val="none"/>
          <w:u w:val="none" w:color="auto"/>
        </w:rPr>
        <w:t>0头以上）</w:t>
      </w:r>
      <w:r>
        <w:rPr>
          <w:rFonts w:hint="eastAsia" w:ascii="仿宋_GB2312" w:eastAsia="仿宋_GB2312"/>
          <w:color w:val="auto"/>
          <w:sz w:val="32"/>
          <w:szCs w:val="32"/>
          <w:highlight w:val="none"/>
          <w:u w:val="none" w:color="auto"/>
          <w:lang w:eastAsia="zh-CN"/>
        </w:rPr>
        <w:t>用于自繁的崇明白山羊种母羊，</w:t>
      </w:r>
      <w:r>
        <w:rPr>
          <w:rFonts w:hint="eastAsia" w:ascii="仿宋_GB2312" w:eastAsia="仿宋_GB2312"/>
          <w:color w:val="auto"/>
          <w:sz w:val="32"/>
          <w:szCs w:val="32"/>
          <w:highlight w:val="none"/>
          <w:u w:val="none" w:color="auto"/>
        </w:rPr>
        <w:t>每头补贴600元。</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仿宋_GB2312" w:eastAsia="仿宋_GB2312"/>
          <w:color w:val="auto"/>
          <w:sz w:val="32"/>
          <w:szCs w:val="32"/>
          <w:highlight w:val="none"/>
          <w:u w:val="none" w:color="auto"/>
          <w:lang w:eastAsia="zh-CN"/>
        </w:rPr>
        <w:t>实施崇明</w:t>
      </w:r>
      <w:r>
        <w:rPr>
          <w:rFonts w:hint="eastAsia" w:ascii="仿宋_GB2312" w:eastAsia="仿宋_GB2312"/>
          <w:color w:val="auto"/>
          <w:sz w:val="32"/>
          <w:szCs w:val="32"/>
          <w:highlight w:val="none"/>
          <w:u w:val="none" w:color="auto"/>
        </w:rPr>
        <w:t>清水蟹养殖补贴</w:t>
      </w:r>
      <w:r>
        <w:rPr>
          <w:rFonts w:hint="eastAsia" w:ascii="仿宋_GB2312" w:eastAsia="仿宋_GB2312"/>
          <w:color w:val="auto"/>
          <w:sz w:val="32"/>
          <w:szCs w:val="32"/>
          <w:highlight w:val="none"/>
          <w:u w:val="none" w:color="auto"/>
          <w:lang w:eastAsia="zh-CN"/>
        </w:rPr>
        <w:t>，</w:t>
      </w:r>
      <w:r>
        <w:rPr>
          <w:rFonts w:hint="eastAsia" w:ascii="仿宋_GB2312" w:hAnsi="仿宋_GB2312" w:eastAsia="仿宋_GB2312" w:cs="仿宋_GB2312"/>
          <w:color w:val="auto"/>
          <w:sz w:val="32"/>
          <w:szCs w:val="32"/>
          <w:highlight w:val="none"/>
          <w:u w:val="none" w:color="auto"/>
        </w:rPr>
        <w:t>纳入本区水产品养殖质量安全监管体系、获得“三品”农产品认证</w:t>
      </w:r>
      <w:r>
        <w:rPr>
          <w:rFonts w:hint="eastAsia" w:ascii="仿宋_GB2312" w:hAnsi="仿宋_GB2312" w:eastAsia="仿宋_GB2312" w:cs="仿宋_GB2312"/>
          <w:color w:val="auto"/>
          <w:sz w:val="32"/>
          <w:szCs w:val="32"/>
          <w:highlight w:val="none"/>
          <w:u w:val="none" w:color="auto"/>
          <w:lang w:eastAsia="zh-CN"/>
        </w:rPr>
        <w:t>之一</w:t>
      </w:r>
      <w:r>
        <w:rPr>
          <w:rFonts w:hint="eastAsia" w:ascii="仿宋_GB2312" w:hAnsi="仿宋_GB2312" w:eastAsia="仿宋_GB2312" w:cs="仿宋_GB2312"/>
          <w:color w:val="auto"/>
          <w:sz w:val="32"/>
          <w:szCs w:val="32"/>
          <w:highlight w:val="none"/>
          <w:u w:val="none" w:color="auto"/>
        </w:rPr>
        <w:t>、连片养殖100亩以上的精养商品蟹基地，</w:t>
      </w:r>
      <w:r>
        <w:rPr>
          <w:rFonts w:hint="eastAsia" w:ascii="仿宋_GB2312" w:hAnsi="仿宋_GB2312" w:eastAsia="仿宋_GB2312" w:cs="仿宋_GB2312"/>
          <w:color w:val="auto"/>
          <w:sz w:val="32"/>
          <w:szCs w:val="32"/>
          <w:highlight w:val="none"/>
          <w:u w:val="none" w:color="auto"/>
          <w:lang w:eastAsia="zh-CN"/>
        </w:rPr>
        <w:t>每亩</w:t>
      </w:r>
      <w:r>
        <w:rPr>
          <w:rFonts w:hint="eastAsia" w:ascii="仿宋_GB2312" w:hAnsi="仿宋_GB2312" w:eastAsia="仿宋_GB2312" w:cs="仿宋_GB2312"/>
          <w:color w:val="auto"/>
          <w:sz w:val="32"/>
          <w:szCs w:val="32"/>
          <w:highlight w:val="none"/>
          <w:u w:val="none" w:color="auto"/>
        </w:rPr>
        <w:t>补贴300元。</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（九）提升改造特色林果业</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rPr>
        <w:t>对列入</w:t>
      </w:r>
      <w:r>
        <w:rPr>
          <w:rFonts w:hint="eastAsia" w:ascii="仿宋_GB2312" w:hAnsi="仿宋_GB2312" w:eastAsia="仿宋_GB2312" w:cs="仿宋_GB2312"/>
          <w:color w:val="auto"/>
          <w:sz w:val="32"/>
          <w:szCs w:val="32"/>
          <w:highlight w:val="none"/>
          <w:u w:val="none" w:color="auto"/>
          <w:lang w:eastAsia="zh-CN"/>
        </w:rPr>
        <w:t>本</w:t>
      </w:r>
      <w:r>
        <w:rPr>
          <w:rFonts w:hint="eastAsia" w:ascii="仿宋_GB2312" w:hAnsi="仿宋_GB2312" w:eastAsia="仿宋_GB2312" w:cs="仿宋_GB2312"/>
          <w:color w:val="auto"/>
          <w:sz w:val="32"/>
          <w:szCs w:val="32"/>
          <w:highlight w:val="none"/>
          <w:u w:val="none" w:color="auto"/>
        </w:rPr>
        <w:t>区柑橘新品种繁育示范基地计划，种植30亩以上的</w:t>
      </w:r>
      <w:r>
        <w:rPr>
          <w:rFonts w:hint="eastAsia" w:ascii="仿宋_GB2312" w:hAnsi="仿宋_GB2312" w:eastAsia="仿宋_GB2312" w:cs="仿宋_GB2312"/>
          <w:color w:val="auto"/>
          <w:sz w:val="32"/>
          <w:szCs w:val="32"/>
          <w:highlight w:val="none"/>
          <w:u w:val="none" w:color="auto"/>
          <w:lang w:eastAsia="zh-CN"/>
        </w:rPr>
        <w:t>柑橘种植基地</w:t>
      </w:r>
      <w:r>
        <w:rPr>
          <w:rFonts w:hint="eastAsia" w:ascii="仿宋_GB2312" w:hAnsi="仿宋_GB2312" w:eastAsia="仿宋_GB2312" w:cs="仿宋_GB2312"/>
          <w:color w:val="auto"/>
          <w:sz w:val="32"/>
          <w:szCs w:val="32"/>
          <w:highlight w:val="none"/>
          <w:u w:val="none" w:color="auto"/>
        </w:rPr>
        <w:t>，一次性补贴20万元，用于母本园、繁育园和展示园建设</w:t>
      </w:r>
      <w:r>
        <w:rPr>
          <w:rFonts w:hint="eastAsia" w:ascii="仿宋_GB2312" w:hAnsi="仿宋_GB2312" w:eastAsia="仿宋_GB2312" w:cs="仿宋_GB2312"/>
          <w:color w:val="auto"/>
          <w:sz w:val="32"/>
          <w:szCs w:val="32"/>
          <w:highlight w:val="none"/>
          <w:u w:val="none" w:color="auto"/>
          <w:lang w:eastAsia="zh-CN"/>
        </w:rPr>
        <w:t>；</w:t>
      </w:r>
      <w:r>
        <w:rPr>
          <w:rFonts w:hint="eastAsia" w:ascii="仿宋_GB2312" w:hAnsi="仿宋_GB2312" w:eastAsia="仿宋_GB2312" w:cs="仿宋_GB2312"/>
          <w:color w:val="auto"/>
          <w:sz w:val="32"/>
          <w:szCs w:val="32"/>
          <w:highlight w:val="none"/>
          <w:u w:val="none" w:color="auto"/>
        </w:rPr>
        <w:t>对列入</w:t>
      </w:r>
      <w:r>
        <w:rPr>
          <w:rFonts w:hint="eastAsia" w:ascii="仿宋_GB2312" w:hAnsi="仿宋_GB2312" w:eastAsia="仿宋_GB2312" w:cs="仿宋_GB2312"/>
          <w:color w:val="auto"/>
          <w:sz w:val="32"/>
          <w:szCs w:val="32"/>
          <w:highlight w:val="none"/>
          <w:u w:val="none" w:color="auto"/>
          <w:lang w:eastAsia="zh-CN"/>
        </w:rPr>
        <w:t>本</w:t>
      </w:r>
      <w:r>
        <w:rPr>
          <w:rFonts w:hint="eastAsia" w:ascii="仿宋_GB2312" w:hAnsi="仿宋_GB2312" w:eastAsia="仿宋_GB2312" w:cs="仿宋_GB2312"/>
          <w:color w:val="auto"/>
          <w:sz w:val="32"/>
          <w:szCs w:val="32"/>
          <w:highlight w:val="none"/>
          <w:u w:val="none" w:color="auto"/>
        </w:rPr>
        <w:t>区老桔园改造计划的基地</w:t>
      </w:r>
      <w:r>
        <w:rPr>
          <w:rFonts w:hint="eastAsia" w:ascii="仿宋_GB2312" w:hAnsi="仿宋_GB2312" w:eastAsia="仿宋_GB2312" w:cs="仿宋_GB2312"/>
          <w:color w:val="auto"/>
          <w:sz w:val="32"/>
          <w:szCs w:val="32"/>
          <w:highlight w:val="none"/>
          <w:u w:val="none" w:color="auto"/>
          <w:lang w:eastAsia="zh-CN"/>
        </w:rPr>
        <w:t>，</w:t>
      </w:r>
      <w:r>
        <w:rPr>
          <w:rFonts w:hint="eastAsia" w:ascii="仿宋_GB2312" w:hAnsi="仿宋_GB2312" w:eastAsia="仿宋_GB2312" w:cs="仿宋_GB2312"/>
          <w:color w:val="auto"/>
          <w:sz w:val="32"/>
          <w:szCs w:val="32"/>
          <w:highlight w:val="none"/>
          <w:u w:val="none" w:color="auto"/>
        </w:rPr>
        <w:t>补贴900元/亩</w:t>
      </w:r>
      <w:r>
        <w:rPr>
          <w:rFonts w:hint="eastAsia" w:ascii="仿宋_GB2312" w:hAnsi="仿宋_GB2312" w:eastAsia="仿宋_GB2312" w:cs="仿宋_GB2312"/>
          <w:color w:val="auto"/>
          <w:sz w:val="32"/>
          <w:szCs w:val="32"/>
          <w:highlight w:val="none"/>
          <w:u w:val="none" w:color="auto"/>
          <w:lang w:eastAsia="zh-CN"/>
        </w:rPr>
        <w:t>，</w:t>
      </w:r>
      <w:r>
        <w:rPr>
          <w:rFonts w:hint="eastAsia" w:ascii="仿宋_GB2312" w:hAnsi="仿宋_GB2312" w:eastAsia="仿宋_GB2312" w:cs="仿宋_GB2312"/>
          <w:color w:val="auto"/>
          <w:sz w:val="32"/>
          <w:szCs w:val="32"/>
          <w:highlight w:val="none"/>
          <w:u w:val="none" w:color="auto"/>
          <w:lang w:val="en-US" w:eastAsia="zh-CN"/>
        </w:rPr>
        <w:t>用于</w:t>
      </w:r>
      <w:r>
        <w:rPr>
          <w:rFonts w:hint="eastAsia" w:ascii="仿宋_GB2312" w:hAnsi="仿宋_GB2312" w:eastAsia="仿宋_GB2312" w:cs="仿宋_GB2312"/>
          <w:color w:val="auto"/>
          <w:sz w:val="32"/>
          <w:szCs w:val="32"/>
          <w:highlight w:val="none"/>
          <w:u w:val="none" w:color="auto"/>
        </w:rPr>
        <w:t>苗木种植</w:t>
      </w:r>
      <w:r>
        <w:rPr>
          <w:rFonts w:hint="eastAsia" w:ascii="仿宋_GB2312" w:hAnsi="仿宋_GB2312" w:eastAsia="仿宋_GB2312" w:cs="仿宋_GB2312"/>
          <w:color w:val="auto"/>
          <w:sz w:val="32"/>
          <w:szCs w:val="32"/>
          <w:highlight w:val="none"/>
          <w:u w:val="none" w:color="auto"/>
          <w:lang w:eastAsia="zh-CN"/>
        </w:rPr>
        <w:t>；</w:t>
      </w:r>
      <w:r>
        <w:rPr>
          <w:rFonts w:hint="eastAsia" w:ascii="仿宋_GB2312" w:hAnsi="仿宋_GB2312" w:eastAsia="仿宋_GB2312" w:cs="仿宋_GB2312"/>
          <w:color w:val="auto"/>
          <w:sz w:val="32"/>
          <w:szCs w:val="32"/>
          <w:highlight w:val="none"/>
          <w:u w:val="none" w:color="auto"/>
        </w:rPr>
        <w:t>对新建的柑橘省力化（机械化）栽培基地，一次性补贴</w:t>
      </w:r>
      <w:r>
        <w:rPr>
          <w:rFonts w:hint="eastAsia" w:ascii="仿宋_GB2312" w:hAnsi="仿宋_GB2312" w:eastAsia="仿宋_GB2312" w:cs="仿宋_GB2312"/>
          <w:color w:val="auto"/>
          <w:sz w:val="32"/>
          <w:szCs w:val="32"/>
          <w:highlight w:val="none"/>
          <w:u w:val="none" w:color="auto"/>
          <w:lang w:val="en-US" w:eastAsia="zh-CN"/>
        </w:rPr>
        <w:t>6000</w:t>
      </w:r>
      <w:r>
        <w:rPr>
          <w:rFonts w:hint="eastAsia" w:ascii="仿宋_GB2312" w:hAnsi="仿宋_GB2312" w:eastAsia="仿宋_GB2312" w:cs="仿宋_GB2312"/>
          <w:color w:val="auto"/>
          <w:sz w:val="32"/>
          <w:szCs w:val="32"/>
          <w:highlight w:val="none"/>
          <w:u w:val="none" w:color="auto"/>
        </w:rPr>
        <w:t>元/亩，用于限根栽培、喷滴灌、反光膜等设施设备。</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黑体" w:hAnsi="黑体" w:eastAsia="黑体" w:cs="黑体"/>
          <w:color w:val="auto"/>
          <w:sz w:val="32"/>
          <w:szCs w:val="32"/>
          <w:highlight w:val="none"/>
          <w:u w:val="none" w:color="auto"/>
          <w:lang w:eastAsia="zh-CN"/>
        </w:rPr>
      </w:pPr>
      <w:r>
        <w:rPr>
          <w:rFonts w:hint="eastAsia" w:ascii="黑体" w:hAnsi="黑体" w:eastAsia="黑体" w:cs="黑体"/>
          <w:color w:val="auto"/>
          <w:sz w:val="32"/>
          <w:szCs w:val="32"/>
          <w:highlight w:val="none"/>
          <w:u w:val="none" w:color="auto"/>
          <w:lang w:eastAsia="zh-CN"/>
        </w:rPr>
        <w:t>四、坚持农业生态与农产品安全</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（十）实施农药源头管控</w:t>
      </w:r>
    </w:p>
    <w:p>
      <w:pPr>
        <w:keepNext w:val="0"/>
        <w:keepLines w:val="0"/>
        <w:pageBreakBefore w:val="0"/>
        <w:widowControl w:val="0"/>
        <w:shd w:val="clear" w:color="auto" w:fill="auto"/>
        <w:kinsoku/>
        <w:wordWrap/>
        <w:overflowPunct/>
        <w:topLinePunct w:val="0"/>
        <w:autoSpaceDE/>
        <w:autoSpaceDN/>
        <w:bidi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lang w:val="zh-TW" w:eastAsia="zh-TW"/>
        </w:rPr>
      </w:pPr>
      <w:r>
        <w:rPr>
          <w:rFonts w:ascii="仿宋_GB2312" w:hAnsi="仿宋_GB2312" w:eastAsia="仿宋_GB2312" w:cs="仿宋_GB2312"/>
          <w:color w:val="auto"/>
          <w:sz w:val="32"/>
          <w:szCs w:val="32"/>
          <w:highlight w:val="none"/>
          <w:u w:val="none" w:color="auto"/>
          <w:lang w:val="zh-TW" w:eastAsia="zh-TW"/>
        </w:rPr>
        <w:t>鼓励使用崇明区绿色农药推荐目录内的农药，对通过绿色</w:t>
      </w:r>
      <w:r>
        <w:rPr>
          <w:rFonts w:hint="eastAsia" w:ascii="仿宋_GB2312" w:hAnsi="仿宋_GB2312" w:eastAsia="仿宋_GB2312" w:cs="仿宋_GB2312"/>
          <w:color w:val="auto"/>
          <w:sz w:val="32"/>
          <w:szCs w:val="32"/>
          <w:highlight w:val="none"/>
          <w:u w:val="none" w:color="auto"/>
          <w:lang w:val="zh-TW" w:eastAsia="zh-CN"/>
        </w:rPr>
        <w:t>、有机</w:t>
      </w:r>
      <w:r>
        <w:rPr>
          <w:rFonts w:ascii="仿宋_GB2312" w:hAnsi="仿宋_GB2312" w:eastAsia="仿宋_GB2312" w:cs="仿宋_GB2312"/>
          <w:color w:val="auto"/>
          <w:sz w:val="32"/>
          <w:szCs w:val="32"/>
          <w:highlight w:val="none"/>
          <w:u w:val="none" w:color="auto"/>
          <w:lang w:val="zh-TW" w:eastAsia="zh-TW"/>
        </w:rPr>
        <w:t>食品认证的水稻、蔬菜、林果类生产主体实行目录内农药免费统供，未通过绿色</w:t>
      </w:r>
      <w:r>
        <w:rPr>
          <w:rFonts w:hint="eastAsia" w:ascii="仿宋_GB2312" w:hAnsi="仿宋_GB2312" w:eastAsia="仿宋_GB2312" w:cs="仿宋_GB2312"/>
          <w:color w:val="auto"/>
          <w:sz w:val="32"/>
          <w:szCs w:val="32"/>
          <w:highlight w:val="none"/>
          <w:u w:val="none" w:color="auto"/>
          <w:lang w:val="zh-TW" w:eastAsia="zh-CN"/>
        </w:rPr>
        <w:t>、有机</w:t>
      </w:r>
      <w:r>
        <w:rPr>
          <w:rFonts w:ascii="仿宋_GB2312" w:hAnsi="仿宋_GB2312" w:eastAsia="仿宋_GB2312" w:cs="仿宋_GB2312"/>
          <w:color w:val="auto"/>
          <w:sz w:val="32"/>
          <w:szCs w:val="32"/>
          <w:highlight w:val="none"/>
          <w:u w:val="none" w:color="auto"/>
          <w:lang w:val="zh-TW" w:eastAsia="zh-TW"/>
        </w:rPr>
        <w:t>食品认证的按照</w:t>
      </w:r>
      <w:r>
        <w:rPr>
          <w:rFonts w:ascii="仿宋_GB2312" w:hAnsi="仿宋_GB2312" w:eastAsia="仿宋_GB2312" w:cs="仿宋_GB2312"/>
          <w:color w:val="auto"/>
          <w:sz w:val="32"/>
          <w:szCs w:val="32"/>
          <w:highlight w:val="none"/>
          <w:u w:val="none" w:color="auto"/>
          <w:lang w:val="zh-CN" w:eastAsia="zh-CN"/>
        </w:rPr>
        <w:t>限额</w:t>
      </w:r>
      <w:r>
        <w:rPr>
          <w:rFonts w:ascii="仿宋_GB2312" w:hAnsi="仿宋_GB2312" w:eastAsia="仿宋_GB2312" w:cs="仿宋_GB2312"/>
          <w:color w:val="auto"/>
          <w:sz w:val="32"/>
          <w:szCs w:val="32"/>
          <w:highlight w:val="none"/>
          <w:u w:val="none" w:color="auto"/>
          <w:lang w:val="en-US"/>
        </w:rPr>
        <w:t>80%</w:t>
      </w:r>
      <w:r>
        <w:rPr>
          <w:rFonts w:ascii="仿宋_GB2312" w:hAnsi="仿宋_GB2312" w:eastAsia="仿宋_GB2312" w:cs="仿宋_GB2312"/>
          <w:color w:val="auto"/>
          <w:sz w:val="32"/>
          <w:szCs w:val="32"/>
          <w:highlight w:val="none"/>
          <w:u w:val="none" w:color="auto"/>
          <w:lang w:val="zh-TW" w:eastAsia="zh-TW"/>
        </w:rPr>
        <w:t>享受。农药补贴限额不</w:t>
      </w:r>
      <w:r>
        <w:rPr>
          <w:rFonts w:hint="eastAsia" w:ascii="仿宋_GB2312" w:hAnsi="仿宋_GB2312" w:eastAsia="仿宋_GB2312" w:cs="仿宋_GB2312"/>
          <w:color w:val="auto"/>
          <w:sz w:val="32"/>
          <w:szCs w:val="32"/>
          <w:highlight w:val="none"/>
          <w:u w:val="none" w:color="auto"/>
          <w:lang w:val="en-US" w:eastAsia="zh-CN"/>
        </w:rPr>
        <w:t>高于区农业农村委</w:t>
      </w:r>
      <w:r>
        <w:rPr>
          <w:rFonts w:ascii="仿宋_GB2312" w:hAnsi="仿宋_GB2312" w:eastAsia="仿宋_GB2312" w:cs="仿宋_GB2312"/>
          <w:color w:val="auto"/>
          <w:sz w:val="32"/>
          <w:szCs w:val="32"/>
          <w:highlight w:val="none"/>
          <w:u w:val="none" w:color="auto"/>
          <w:lang w:val="zh-TW" w:eastAsia="zh-TW"/>
        </w:rPr>
        <w:t>制定的标准。</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（十一）</w:t>
      </w:r>
      <w:r>
        <w:rPr>
          <w:rFonts w:hint="eastAsia" w:ascii="楷体_GB2312" w:hAnsi="楷体_GB2312" w:eastAsia="楷体_GB2312" w:cs="楷体_GB2312"/>
          <w:b w:val="0"/>
          <w:bCs w:val="0"/>
          <w:color w:val="auto"/>
          <w:sz w:val="32"/>
          <w:szCs w:val="32"/>
          <w:highlight w:val="none"/>
          <w:u w:val="none" w:color="auto"/>
          <w:lang w:val="en-US" w:eastAsia="zh-CN"/>
        </w:rPr>
        <w:t>推动</w:t>
      </w:r>
      <w:r>
        <w:rPr>
          <w:rFonts w:hint="eastAsia" w:ascii="楷体_GB2312" w:hAnsi="楷体_GB2312" w:eastAsia="楷体_GB2312" w:cs="楷体_GB2312"/>
          <w:b w:val="0"/>
          <w:bCs w:val="0"/>
          <w:color w:val="auto"/>
          <w:sz w:val="32"/>
          <w:szCs w:val="32"/>
          <w:highlight w:val="none"/>
          <w:u w:val="none" w:color="auto"/>
          <w:lang w:val="zh-TW" w:eastAsia="zh-TW"/>
        </w:rPr>
        <w:t>绿色</w:t>
      </w:r>
      <w:r>
        <w:rPr>
          <w:rFonts w:hint="eastAsia" w:ascii="楷体_GB2312" w:hAnsi="楷体_GB2312" w:eastAsia="楷体_GB2312" w:cs="楷体_GB2312"/>
          <w:b w:val="0"/>
          <w:bCs w:val="0"/>
          <w:color w:val="auto"/>
          <w:sz w:val="32"/>
          <w:szCs w:val="32"/>
          <w:highlight w:val="none"/>
          <w:u w:val="none" w:color="auto"/>
          <w:lang w:val="zh-CN" w:eastAsia="zh-CN"/>
        </w:rPr>
        <w:t>、</w:t>
      </w:r>
      <w:r>
        <w:rPr>
          <w:rFonts w:hint="eastAsia" w:ascii="楷体_GB2312" w:hAnsi="楷体_GB2312" w:eastAsia="楷体_GB2312" w:cs="楷体_GB2312"/>
          <w:b w:val="0"/>
          <w:bCs w:val="0"/>
          <w:color w:val="auto"/>
          <w:sz w:val="32"/>
          <w:szCs w:val="32"/>
          <w:highlight w:val="none"/>
          <w:u w:val="none" w:color="auto"/>
          <w:lang w:val="zh-TW" w:eastAsia="zh-TW"/>
        </w:rPr>
        <w:t>有机食品认证</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highlight w:val="none"/>
          <w:u w:val="none" w:color="auto"/>
        </w:rPr>
      </w:pPr>
      <w:r>
        <w:rPr>
          <w:rFonts w:hint="eastAsia" w:ascii="仿宋_GB2312" w:hAnsi="仿宋_GB2312" w:eastAsia="仿宋_GB2312" w:cs="仿宋_GB2312"/>
          <w:color w:val="auto"/>
          <w:sz w:val="32"/>
          <w:szCs w:val="32"/>
          <w:highlight w:val="none"/>
          <w:u w:val="none" w:color="auto"/>
          <w:lang w:eastAsia="zh-CN"/>
        </w:rPr>
        <w:t>支持开展绿</w:t>
      </w:r>
      <w:r>
        <w:rPr>
          <w:rFonts w:hint="eastAsia" w:ascii="仿宋_GB2312" w:hAnsi="仿宋_GB2312" w:eastAsia="仿宋_GB2312" w:cs="仿宋_GB2312"/>
          <w:sz w:val="32"/>
          <w:szCs w:val="32"/>
          <w:highlight w:val="none"/>
          <w:u w:val="none" w:color="auto"/>
        </w:rPr>
        <w:t>色、有机食品认证。全额补贴绿色食品认证中的认证审核费、标志使用费、产地环境检测费、产品检测费等直接费用。对新通过有机食品认证的，一次性补贴3万元认证费用。</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eastAsia="zh-CN"/>
        </w:rPr>
        <w:t>对首次通过绿色、有机食品认证的种植业主体奖补2万元/家。绿色认证到期续展或新增认证产品的，第1个产品奖补2万元，第2个产品起奖补1万元/产品，单个认证主体奖补不超过6万元。有机认证到期续展的，每家补贴</w:t>
      </w:r>
      <w:r>
        <w:rPr>
          <w:rFonts w:hint="eastAsia" w:ascii="仿宋_GB2312" w:hAnsi="仿宋_GB2312" w:eastAsia="仿宋_GB2312" w:cs="仿宋_GB2312"/>
          <w:color w:val="auto"/>
          <w:sz w:val="32"/>
          <w:szCs w:val="32"/>
          <w:highlight w:val="none"/>
          <w:u w:val="none" w:color="auto"/>
          <w:lang w:val="en-US" w:eastAsia="zh-CN"/>
        </w:rPr>
        <w:t>3万元。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eastAsia="zh-CN"/>
        </w:rPr>
        <w:t>对首次通过绿色、有机食品认证的养殖业主体补贴</w:t>
      </w:r>
      <w:r>
        <w:rPr>
          <w:rFonts w:hint="eastAsia" w:ascii="仿宋_GB2312" w:hAnsi="仿宋_GB2312" w:eastAsia="仿宋_GB2312" w:cs="仿宋_GB2312"/>
          <w:color w:val="auto"/>
          <w:sz w:val="32"/>
          <w:szCs w:val="32"/>
          <w:highlight w:val="none"/>
          <w:u w:val="none" w:color="auto"/>
          <w:lang w:val="en-US" w:eastAsia="zh-CN"/>
        </w:rPr>
        <w:t>10</w:t>
      </w:r>
      <w:r>
        <w:rPr>
          <w:rFonts w:hint="eastAsia" w:ascii="仿宋_GB2312" w:hAnsi="仿宋_GB2312" w:eastAsia="仿宋_GB2312" w:cs="仿宋_GB2312"/>
          <w:color w:val="auto"/>
          <w:sz w:val="32"/>
          <w:szCs w:val="32"/>
          <w:highlight w:val="none"/>
          <w:u w:val="none" w:color="auto"/>
          <w:lang w:eastAsia="zh-CN"/>
        </w:rPr>
        <w:t>万元/家。对通过绿色、有机认证的养殖业主体进行生产奖补，奖补标准由区农业农村委另行制定。</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val="zh-TW" w:eastAsia="zh-CN"/>
        </w:rPr>
        <w:t>（十二）鼓励</w:t>
      </w:r>
      <w:r>
        <w:rPr>
          <w:rFonts w:hint="eastAsia" w:ascii="楷体_GB2312" w:hAnsi="楷体_GB2312" w:eastAsia="楷体_GB2312" w:cs="楷体_GB2312"/>
          <w:b w:val="0"/>
          <w:bCs w:val="0"/>
          <w:color w:val="auto"/>
          <w:sz w:val="32"/>
          <w:szCs w:val="32"/>
          <w:highlight w:val="none"/>
          <w:u w:val="none" w:color="auto"/>
          <w:lang w:eastAsia="zh-CN"/>
        </w:rPr>
        <w:t>农业废弃物肥料化</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eastAsia="zh-CN"/>
        </w:rPr>
        <w:t>对收集农业废弃物并通过区农业农村委备案后的设备进行肥料化利用的农业生产经营主体，按肥料实际推广直接还田量补贴350元/吨。对收购有机质料并加工成商品有机肥的企业，给予50元/吨的加工补贴。</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（十三）推动农村土地整理</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黑体" w:eastAsia="仿宋_GB2312" w:cs="仿宋_GB2312"/>
          <w:color w:val="auto"/>
          <w:sz w:val="32"/>
          <w:highlight w:val="none"/>
          <w:u w:val="none" w:color="auto"/>
        </w:rPr>
      </w:pPr>
      <w:r>
        <w:rPr>
          <w:rFonts w:hint="eastAsia" w:ascii="仿宋_GB2312" w:hAnsi="仿宋_GB2312" w:eastAsia="仿宋_GB2312" w:cs="仿宋_GB2312"/>
          <w:color w:val="auto"/>
          <w:sz w:val="32"/>
          <w:highlight w:val="none"/>
          <w:u w:val="none" w:color="auto"/>
        </w:rPr>
        <w:t>规范流转农村土地</w:t>
      </w:r>
      <w:r>
        <w:rPr>
          <w:rFonts w:hint="eastAsia" w:ascii="仿宋_GB2312" w:hAnsi="仿宋_GB2312" w:eastAsia="仿宋_GB2312" w:cs="仿宋_GB2312"/>
          <w:color w:val="auto"/>
          <w:sz w:val="32"/>
          <w:highlight w:val="none"/>
          <w:u w:val="none" w:color="auto"/>
          <w:lang w:eastAsia="zh-CN"/>
        </w:rPr>
        <w:t>，</w:t>
      </w:r>
      <w:r>
        <w:rPr>
          <w:rFonts w:hint="eastAsia" w:ascii="仿宋_GB2312" w:hAnsi="黑体" w:eastAsia="仿宋_GB2312" w:cs="仿宋_GB2312"/>
          <w:color w:val="auto"/>
          <w:sz w:val="32"/>
          <w:highlight w:val="none"/>
          <w:u w:val="none" w:color="auto"/>
        </w:rPr>
        <w:t>连片流转30亩以上</w:t>
      </w:r>
      <w:r>
        <w:rPr>
          <w:rFonts w:hint="eastAsia" w:ascii="仿宋_GB2312" w:hAnsi="黑体" w:eastAsia="仿宋_GB2312" w:cs="仿宋_GB2312"/>
          <w:color w:val="auto"/>
          <w:sz w:val="32"/>
          <w:highlight w:val="none"/>
          <w:u w:val="none" w:color="auto"/>
          <w:lang w:eastAsia="zh-CN"/>
        </w:rPr>
        <w:t>、流转地块中无零星散户，地块从流转到</w:t>
      </w:r>
      <w:r>
        <w:rPr>
          <w:rFonts w:hint="eastAsia" w:ascii="仿宋_GB2312" w:hAnsi="黑体" w:eastAsia="仿宋_GB2312" w:cs="仿宋_GB2312"/>
          <w:color w:val="auto"/>
          <w:sz w:val="32"/>
          <w:highlight w:val="none"/>
          <w:u w:val="none" w:color="auto"/>
        </w:rPr>
        <w:t>引进培育农业经营主体的过渡期</w:t>
      </w:r>
      <w:r>
        <w:rPr>
          <w:rFonts w:hint="eastAsia" w:ascii="仿宋_GB2312" w:hAnsi="黑体" w:eastAsia="仿宋_GB2312" w:cs="仿宋_GB2312"/>
          <w:color w:val="auto"/>
          <w:sz w:val="32"/>
          <w:highlight w:val="none"/>
          <w:u w:val="none" w:color="auto"/>
          <w:lang w:eastAsia="zh-CN"/>
        </w:rPr>
        <w:t>间</w:t>
      </w:r>
      <w:r>
        <w:rPr>
          <w:rFonts w:hint="eastAsia" w:ascii="仿宋_GB2312" w:hAnsi="黑体" w:eastAsia="仿宋_GB2312" w:cs="仿宋_GB2312"/>
          <w:color w:val="auto"/>
          <w:sz w:val="32"/>
          <w:highlight w:val="none"/>
          <w:u w:val="none" w:color="auto"/>
        </w:rPr>
        <w:t>，</w:t>
      </w:r>
      <w:r>
        <w:rPr>
          <w:rFonts w:hint="eastAsia" w:ascii="仿宋_GB2312" w:hAnsi="黑体" w:eastAsia="仿宋_GB2312" w:cs="仿宋_GB2312"/>
          <w:color w:val="auto"/>
          <w:sz w:val="32"/>
          <w:szCs w:val="32"/>
          <w:highlight w:val="none"/>
          <w:u w:val="none" w:color="auto"/>
          <w:lang w:eastAsia="zh-CN"/>
        </w:rPr>
        <w:t>由乡镇统一安排实施有效经营管理的，</w:t>
      </w:r>
      <w:r>
        <w:rPr>
          <w:rFonts w:hint="eastAsia" w:ascii="仿宋_GB2312" w:hAnsi="黑体" w:eastAsia="仿宋_GB2312" w:cs="仿宋_GB2312"/>
          <w:color w:val="auto"/>
          <w:sz w:val="32"/>
          <w:highlight w:val="none"/>
          <w:u w:val="none" w:color="auto"/>
        </w:rPr>
        <w:t>每年给予所在乡镇过渡经营补贴500元/亩</w:t>
      </w:r>
      <w:r>
        <w:rPr>
          <w:rFonts w:hint="eastAsia" w:ascii="仿宋_GB2312" w:hAnsi="黑体" w:eastAsia="仿宋_GB2312" w:cs="仿宋_GB2312"/>
          <w:color w:val="auto"/>
          <w:sz w:val="32"/>
          <w:highlight w:val="none"/>
          <w:u w:val="none" w:color="auto"/>
          <w:lang w:val="en-US" w:eastAsia="zh-CN"/>
        </w:rPr>
        <w:t>(</w:t>
      </w:r>
      <w:r>
        <w:rPr>
          <w:rFonts w:hint="eastAsia" w:ascii="仿宋_GB2312" w:hAnsi="黑体" w:eastAsia="仿宋_GB2312" w:cs="仿宋_GB2312"/>
          <w:color w:val="auto"/>
          <w:sz w:val="32"/>
          <w:highlight w:val="none"/>
          <w:u w:val="none" w:color="auto"/>
        </w:rPr>
        <w:t>按实结算</w:t>
      </w:r>
      <w:r>
        <w:rPr>
          <w:rFonts w:hint="eastAsia" w:ascii="仿宋_GB2312" w:hAnsi="黑体" w:eastAsia="仿宋_GB2312" w:cs="仿宋_GB2312"/>
          <w:color w:val="auto"/>
          <w:sz w:val="32"/>
          <w:highlight w:val="none"/>
          <w:u w:val="none" w:color="auto"/>
          <w:lang w:val="en-US" w:eastAsia="zh-CN"/>
        </w:rPr>
        <w:t>)</w:t>
      </w:r>
      <w:r>
        <w:rPr>
          <w:rFonts w:hint="eastAsia" w:ascii="仿宋_GB2312" w:hAnsi="黑体" w:eastAsia="仿宋_GB2312" w:cs="仿宋_GB2312"/>
          <w:color w:val="auto"/>
          <w:sz w:val="32"/>
          <w:highlight w:val="none"/>
          <w:u w:val="none" w:color="auto"/>
          <w:lang w:eastAsia="zh-CN"/>
        </w:rPr>
        <w:t>；</w:t>
      </w:r>
      <w:r>
        <w:rPr>
          <w:rFonts w:hint="eastAsia" w:ascii="仿宋_GB2312" w:hAnsi="黑体" w:eastAsia="仿宋_GB2312" w:cs="仿宋_GB2312"/>
          <w:color w:val="auto"/>
          <w:sz w:val="32"/>
          <w:highlight w:val="none"/>
          <w:u w:val="none" w:color="auto"/>
        </w:rPr>
        <w:t>经区级论证审批</w:t>
      </w:r>
      <w:r>
        <w:rPr>
          <w:rFonts w:hint="eastAsia" w:ascii="仿宋_GB2312" w:hAnsi="黑体" w:eastAsia="仿宋_GB2312" w:cs="仿宋_GB2312"/>
          <w:color w:val="auto"/>
          <w:sz w:val="32"/>
          <w:highlight w:val="none"/>
          <w:u w:val="none" w:color="auto"/>
          <w:lang w:eastAsia="zh-CN"/>
        </w:rPr>
        <w:t>的</w:t>
      </w:r>
      <w:r>
        <w:rPr>
          <w:rFonts w:hint="eastAsia" w:ascii="仿宋_GB2312" w:hAnsi="黑体" w:eastAsia="仿宋_GB2312" w:cs="仿宋_GB2312"/>
          <w:color w:val="auto"/>
          <w:sz w:val="32"/>
          <w:highlight w:val="none"/>
          <w:u w:val="none" w:color="auto"/>
        </w:rPr>
        <w:t>农业项目（生态</w:t>
      </w:r>
      <w:r>
        <w:rPr>
          <w:rFonts w:hint="eastAsia" w:ascii="仿宋_GB2312" w:hAnsi="黑体" w:eastAsia="仿宋_GB2312" w:cs="仿宋_GB2312"/>
          <w:color w:val="auto"/>
          <w:sz w:val="32"/>
          <w:highlight w:val="none"/>
          <w:u w:val="none" w:color="auto"/>
          <w:lang w:eastAsia="zh-CN"/>
        </w:rPr>
        <w:t>林</w:t>
      </w:r>
      <w:r>
        <w:rPr>
          <w:rFonts w:hint="eastAsia" w:ascii="仿宋_GB2312" w:hAnsi="黑体" w:eastAsia="仿宋_GB2312" w:cs="仿宋_GB2312"/>
          <w:color w:val="auto"/>
          <w:sz w:val="32"/>
          <w:highlight w:val="none"/>
          <w:u w:val="none" w:color="auto"/>
        </w:rPr>
        <w:t>等公益性项目除外）</w:t>
      </w:r>
      <w:r>
        <w:rPr>
          <w:rFonts w:hint="eastAsia" w:ascii="仿宋_GB2312" w:hAnsi="黑体" w:eastAsia="仿宋_GB2312" w:cs="仿宋_GB2312"/>
          <w:color w:val="auto"/>
          <w:sz w:val="32"/>
          <w:highlight w:val="none"/>
          <w:u w:val="none" w:color="auto"/>
          <w:lang w:eastAsia="zh-CN"/>
        </w:rPr>
        <w:t>满足</w:t>
      </w:r>
      <w:r>
        <w:rPr>
          <w:rFonts w:hint="eastAsia" w:ascii="仿宋_GB2312" w:hAnsi="黑体" w:eastAsia="仿宋_GB2312" w:cs="仿宋_GB2312"/>
          <w:color w:val="auto"/>
          <w:sz w:val="32"/>
          <w:highlight w:val="none"/>
          <w:u w:val="none" w:color="auto"/>
        </w:rPr>
        <w:t>流转100亩以上（含100亩）</w:t>
      </w:r>
      <w:r>
        <w:rPr>
          <w:rFonts w:hint="eastAsia" w:ascii="仿宋_GB2312" w:hAnsi="黑体" w:eastAsia="仿宋_GB2312" w:cs="仿宋_GB2312"/>
          <w:color w:val="auto"/>
          <w:sz w:val="32"/>
          <w:highlight w:val="none"/>
          <w:u w:val="none" w:color="auto"/>
          <w:lang w:eastAsia="zh-CN"/>
        </w:rPr>
        <w:t>、流转地块中无零星散户等条件</w:t>
      </w:r>
      <w:r>
        <w:rPr>
          <w:rFonts w:hint="eastAsia" w:ascii="仿宋_GB2312" w:hAnsi="黑体" w:eastAsia="仿宋_GB2312" w:cs="仿宋_GB2312"/>
          <w:color w:val="auto"/>
          <w:sz w:val="32"/>
          <w:highlight w:val="none"/>
          <w:u w:val="none" w:color="auto"/>
        </w:rPr>
        <w:t>，给予</w:t>
      </w:r>
      <w:r>
        <w:rPr>
          <w:rFonts w:hint="eastAsia" w:ascii="仿宋_GB2312" w:hAnsi="黑体" w:eastAsia="仿宋_GB2312" w:cs="仿宋_GB2312"/>
          <w:color w:val="auto"/>
          <w:sz w:val="32"/>
          <w:highlight w:val="none"/>
          <w:u w:val="none" w:color="auto"/>
          <w:lang w:eastAsia="zh-CN"/>
        </w:rPr>
        <w:t>项目</w:t>
      </w:r>
      <w:r>
        <w:rPr>
          <w:rFonts w:hint="eastAsia" w:ascii="仿宋_GB2312" w:hAnsi="黑体" w:eastAsia="仿宋_GB2312" w:cs="仿宋_GB2312"/>
          <w:color w:val="auto"/>
          <w:sz w:val="32"/>
          <w:highlight w:val="none"/>
          <w:u w:val="none" w:color="auto"/>
        </w:rPr>
        <w:t>所在乡镇一次性奖补300元/亩。</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黑体" w:eastAsia="仿宋_GB2312" w:cs="仿宋_GB2312"/>
          <w:color w:val="auto"/>
          <w:sz w:val="32"/>
          <w:highlight w:val="none"/>
          <w:u w:val="none" w:color="auto"/>
        </w:rPr>
      </w:pPr>
      <w:r>
        <w:rPr>
          <w:rFonts w:hint="eastAsia" w:ascii="仿宋_GB2312" w:hAnsi="黑体" w:eastAsia="仿宋_GB2312" w:cs="仿宋_GB2312"/>
          <w:color w:val="auto"/>
          <w:sz w:val="32"/>
          <w:highlight w:val="none"/>
          <w:u w:val="none" w:color="auto"/>
          <w:lang w:eastAsia="zh-CN"/>
        </w:rPr>
        <w:t>按照绿色农业特别管理措施，对农业生产产生的污染源、违规行为、落后产能等开展减量清退工作,每年度设立工作经费</w:t>
      </w:r>
      <w:r>
        <w:rPr>
          <w:rFonts w:hint="eastAsia" w:ascii="仿宋_GB2312" w:hAnsi="黑体" w:eastAsia="仿宋_GB2312" w:cs="仿宋_GB2312"/>
          <w:color w:val="auto"/>
          <w:sz w:val="32"/>
          <w:highlight w:val="none"/>
          <w:u w:val="none" w:color="auto"/>
          <w:lang w:val="en-US" w:eastAsia="zh-CN"/>
        </w:rPr>
        <w:t>3</w:t>
      </w:r>
      <w:r>
        <w:rPr>
          <w:rFonts w:hint="eastAsia" w:ascii="仿宋_GB2312" w:hAnsi="黑体" w:eastAsia="仿宋_GB2312" w:cs="仿宋_GB2312"/>
          <w:color w:val="auto"/>
          <w:sz w:val="32"/>
          <w:highlight w:val="none"/>
          <w:u w:val="none" w:color="auto"/>
          <w:lang w:eastAsia="zh-CN"/>
        </w:rPr>
        <w:t>000万元。对乡镇单个地块减量或清退达300亩以上（含300亩），按照实际减量或清退面积实施分类补贴，每亩补贴不高于区农业农村委制定的标准。</w:t>
      </w:r>
    </w:p>
    <w:p>
      <w:pPr>
        <w:keepNext w:val="0"/>
        <w:keepLines w:val="0"/>
        <w:pageBreakBefore w:val="0"/>
        <w:widowControl w:val="0"/>
        <w:shd w:val="clear" w:color="auto" w:fill="auto"/>
        <w:kinsoku/>
        <w:wordWrap/>
        <w:overflowPunct/>
        <w:topLinePunct w:val="0"/>
        <w:autoSpaceDE/>
        <w:autoSpaceDN/>
        <w:bidi w:val="0"/>
        <w:spacing w:line="560" w:lineRule="exact"/>
        <w:ind w:firstLine="640" w:firstLineChars="200"/>
        <w:jc w:val="both"/>
        <w:textAlignment w:val="auto"/>
        <w:outlineLvl w:val="9"/>
        <w:rPr>
          <w:rFonts w:hint="eastAsia" w:ascii="黑体" w:hAnsi="黑体" w:eastAsia="黑体" w:cs="黑体"/>
          <w:color w:val="auto"/>
          <w:sz w:val="32"/>
          <w:szCs w:val="32"/>
          <w:highlight w:val="none"/>
          <w:u w:val="none" w:color="auto"/>
          <w:lang w:eastAsia="zh-CN"/>
        </w:rPr>
      </w:pPr>
      <w:r>
        <w:rPr>
          <w:rFonts w:hint="eastAsia" w:ascii="黑体" w:hAnsi="黑体" w:eastAsia="黑体" w:cs="黑体"/>
          <w:color w:val="auto"/>
          <w:sz w:val="32"/>
          <w:szCs w:val="32"/>
          <w:highlight w:val="none"/>
          <w:u w:val="none" w:color="auto"/>
          <w:lang w:eastAsia="zh-CN"/>
        </w:rPr>
        <w:t>五、扶持区域公共品牌发展</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val="en-US" w:eastAsia="zh-CN"/>
        </w:rPr>
      </w:pPr>
      <w:r>
        <w:rPr>
          <w:rFonts w:hint="eastAsia" w:ascii="楷体_GB2312" w:hAnsi="楷体_GB2312" w:eastAsia="楷体_GB2312" w:cs="楷体_GB2312"/>
          <w:b w:val="0"/>
          <w:bCs w:val="0"/>
          <w:color w:val="auto"/>
          <w:sz w:val="32"/>
          <w:szCs w:val="32"/>
          <w:highlight w:val="none"/>
          <w:u w:val="none" w:color="auto"/>
          <w:lang w:val="en-US" w:eastAsia="zh-CN"/>
        </w:rPr>
        <w:t>（十四）支持订单农业服务主体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对经区农业农村委认定，运营崇明农产品区域公共品牌、服务崇明区域范围内订单农业的主体，给予相应补贴。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对包装、销售区域公共品牌农产品的主体，给予包装物制作费60%-80%的补贴。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对线上或线下开设崇明农产品展示专区，且完成考核指标的主体，补贴总额不超过300万元。</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对销售区域公共品牌农产品的主体，奖励不超过渠道供货价的3%。</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对举办崇明农产品区域公共品牌推广活动，参加国内外农产品展销活动给予宣传推广补贴。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对使用自有生鲜物流，且年配送200次以上，补贴200元/车；对使用第三方物流，且年配送量10000单以上，补贴当年配送费的50%；对提供农产品综合性服务的主体，每年补贴总额不超过200万元。</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黑体" w:hAnsi="黑体" w:eastAsia="黑体" w:cs="黑体"/>
          <w:color w:val="auto"/>
          <w:sz w:val="32"/>
          <w:szCs w:val="32"/>
          <w:highlight w:val="none"/>
          <w:u w:val="none" w:color="auto"/>
          <w:lang w:eastAsia="zh-CN"/>
        </w:rPr>
      </w:pPr>
      <w:r>
        <w:rPr>
          <w:rFonts w:hint="eastAsia" w:ascii="黑体" w:hAnsi="黑体" w:eastAsia="黑体" w:cs="黑体"/>
          <w:color w:val="auto"/>
          <w:sz w:val="32"/>
          <w:szCs w:val="32"/>
          <w:highlight w:val="none"/>
          <w:u w:val="none" w:color="auto"/>
          <w:lang w:eastAsia="zh-CN"/>
        </w:rPr>
        <w:t>六</w:t>
      </w:r>
      <w:r>
        <w:rPr>
          <w:rFonts w:hint="eastAsia" w:ascii="黑体" w:hAnsi="黑体" w:eastAsia="黑体" w:cs="黑体"/>
          <w:color w:val="auto"/>
          <w:sz w:val="32"/>
          <w:szCs w:val="32"/>
          <w:highlight w:val="none"/>
          <w:u w:val="none" w:color="auto"/>
        </w:rPr>
        <w:t>、</w:t>
      </w:r>
      <w:r>
        <w:rPr>
          <w:rFonts w:hint="eastAsia" w:ascii="黑体" w:hAnsi="黑体" w:eastAsia="黑体" w:cs="黑体"/>
          <w:color w:val="auto"/>
          <w:sz w:val="32"/>
          <w:szCs w:val="32"/>
          <w:highlight w:val="none"/>
          <w:u w:val="none" w:color="auto"/>
          <w:lang w:val="en-US" w:eastAsia="zh-CN"/>
        </w:rPr>
        <w:t>推动</w:t>
      </w:r>
      <w:r>
        <w:rPr>
          <w:rFonts w:hint="eastAsia" w:ascii="黑体" w:hAnsi="黑体" w:eastAsia="黑体" w:cs="黑体"/>
          <w:color w:val="auto"/>
          <w:sz w:val="32"/>
          <w:szCs w:val="32"/>
          <w:highlight w:val="none"/>
          <w:u w:val="none" w:color="auto"/>
          <w:lang w:eastAsia="zh-CN"/>
        </w:rPr>
        <w:t>农业产业转型升级</w:t>
      </w:r>
    </w:p>
    <w:p>
      <w:pPr>
        <w:keepNext w:val="0"/>
        <w:keepLines w:val="0"/>
        <w:pageBreakBefore w:val="0"/>
        <w:widowControl w:val="0"/>
        <w:shd w:val="clear" w:color="000000" w:fill="auto"/>
        <w:kinsoku/>
        <w:wordWrap/>
        <w:overflowPunct/>
        <w:topLinePunct w:val="0"/>
        <w:autoSpaceDE/>
        <w:autoSpaceDN/>
        <w:bidi w:val="0"/>
        <w:snapToGrid w:val="0"/>
        <w:spacing w:line="560" w:lineRule="exact"/>
        <w:ind w:firstLine="640" w:firstLineChars="200"/>
        <w:jc w:val="both"/>
        <w:textAlignment w:val="auto"/>
        <w:outlineLvl w:val="9"/>
        <w:rPr>
          <w:rFonts w:ascii="楷体_GB2312" w:hAnsi="楷体" w:eastAsia="楷体"/>
          <w:color w:val="auto"/>
          <w:sz w:val="32"/>
          <w:szCs w:val="32"/>
          <w:highlight w:val="none"/>
          <w:u w:val="none" w:color="auto"/>
        </w:rPr>
      </w:pPr>
      <w:r>
        <w:rPr>
          <w:rFonts w:ascii="楷体_GB2312" w:hAnsi="楷体_GB2312" w:eastAsia="楷体_GB2312"/>
          <w:color w:val="auto"/>
          <w:sz w:val="32"/>
          <w:szCs w:val="32"/>
          <w:highlight w:val="none"/>
          <w:u w:val="none" w:color="auto"/>
        </w:rPr>
        <w:t>（十</w:t>
      </w:r>
      <w:r>
        <w:rPr>
          <w:rFonts w:hint="eastAsia" w:ascii="楷体_GB2312" w:hAnsi="楷体_GB2312" w:eastAsia="楷体_GB2312"/>
          <w:color w:val="auto"/>
          <w:sz w:val="32"/>
          <w:szCs w:val="32"/>
          <w:highlight w:val="none"/>
          <w:u w:val="none" w:color="auto"/>
          <w:lang w:val="en-US" w:eastAsia="zh-CN"/>
        </w:rPr>
        <w:t>五</w:t>
      </w:r>
      <w:r>
        <w:rPr>
          <w:rFonts w:ascii="楷体_GB2312" w:hAnsi="楷体_GB2312" w:eastAsia="楷体_GB2312"/>
          <w:color w:val="auto"/>
          <w:sz w:val="32"/>
          <w:szCs w:val="32"/>
          <w:highlight w:val="none"/>
          <w:u w:val="none" w:color="auto"/>
        </w:rPr>
        <w:t>）培育</w:t>
      </w:r>
      <w:r>
        <w:rPr>
          <w:rFonts w:hint="eastAsia" w:ascii="楷体_GB2312" w:hAnsi="楷体_GB2312" w:eastAsia="楷体_GB2312"/>
          <w:color w:val="auto"/>
          <w:sz w:val="32"/>
          <w:szCs w:val="32"/>
          <w:highlight w:val="none"/>
          <w:u w:val="none" w:color="auto"/>
          <w:lang w:eastAsia="zh-CN"/>
        </w:rPr>
        <w:t>农业</w:t>
      </w:r>
      <w:r>
        <w:rPr>
          <w:rFonts w:ascii="楷体_GB2312" w:hAnsi="楷体_GB2312" w:eastAsia="楷体_GB2312"/>
          <w:color w:val="auto"/>
          <w:sz w:val="32"/>
          <w:szCs w:val="32"/>
          <w:highlight w:val="none"/>
          <w:u w:val="none" w:color="auto"/>
        </w:rPr>
        <w:t>新型主体</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zh-TW" w:eastAsia="zh-CN"/>
        </w:rPr>
      </w:pPr>
      <w:r>
        <w:rPr>
          <w:rFonts w:hint="eastAsia" w:ascii="仿宋_GB2312" w:hAnsi="仿宋_GB2312" w:eastAsia="仿宋_GB2312" w:cs="仿宋_GB2312"/>
          <w:color w:val="auto"/>
          <w:sz w:val="32"/>
          <w:szCs w:val="32"/>
          <w:highlight w:val="none"/>
          <w:u w:val="none" w:color="auto"/>
          <w:lang w:val="zh-TW" w:eastAsia="zh-CN"/>
        </w:rPr>
        <w:t>经</w:t>
      </w:r>
      <w:r>
        <w:rPr>
          <w:rFonts w:hint="eastAsia" w:ascii="仿宋_GB2312" w:hAnsi="仿宋_GB2312" w:eastAsia="仿宋_GB2312" w:cs="仿宋_GB2312"/>
          <w:color w:val="auto"/>
          <w:sz w:val="32"/>
          <w:szCs w:val="32"/>
          <w:highlight w:val="none"/>
          <w:u w:val="none" w:color="auto"/>
          <w:lang w:val="en-US" w:eastAsia="zh-CN"/>
        </w:rPr>
        <w:t>区农业农村委</w:t>
      </w:r>
      <w:r>
        <w:rPr>
          <w:rFonts w:hint="eastAsia" w:ascii="仿宋_GB2312" w:hAnsi="仿宋_GB2312" w:eastAsia="仿宋_GB2312" w:cs="仿宋_GB2312"/>
          <w:color w:val="auto"/>
          <w:sz w:val="32"/>
          <w:szCs w:val="32"/>
          <w:highlight w:val="none"/>
          <w:u w:val="none" w:color="auto"/>
          <w:lang w:val="zh-TW" w:eastAsia="zh-TW"/>
        </w:rPr>
        <w:t>组团或批准组团</w:t>
      </w:r>
      <w:r>
        <w:rPr>
          <w:rFonts w:hint="eastAsia" w:ascii="仿宋_GB2312" w:hAnsi="仿宋_GB2312" w:eastAsia="仿宋_GB2312" w:cs="仿宋_GB2312"/>
          <w:color w:val="auto"/>
          <w:sz w:val="32"/>
          <w:szCs w:val="32"/>
          <w:highlight w:val="none"/>
          <w:u w:val="none" w:color="auto"/>
          <w:lang w:val="zh-TW" w:eastAsia="zh-CN"/>
        </w:rPr>
        <w:t>，</w:t>
      </w:r>
      <w:r>
        <w:rPr>
          <w:rFonts w:hint="eastAsia" w:ascii="仿宋_GB2312" w:hAnsi="仿宋_GB2312" w:eastAsia="仿宋_GB2312" w:cs="仿宋_GB2312"/>
          <w:color w:val="auto"/>
          <w:sz w:val="32"/>
          <w:szCs w:val="32"/>
          <w:highlight w:val="none"/>
          <w:u w:val="none" w:color="auto"/>
          <w:lang w:val="zh-TW" w:eastAsia="zh-TW"/>
        </w:rPr>
        <w:t>学习</w:t>
      </w:r>
      <w:r>
        <w:rPr>
          <w:rFonts w:hint="eastAsia" w:ascii="仿宋_GB2312" w:hAnsi="仿宋_GB2312" w:eastAsia="仿宋_GB2312" w:cs="仿宋_GB2312"/>
          <w:color w:val="auto"/>
          <w:sz w:val="32"/>
          <w:szCs w:val="32"/>
          <w:highlight w:val="none"/>
          <w:u w:val="none" w:color="auto"/>
          <w:lang w:val="zh-TW" w:eastAsia="zh-CN"/>
        </w:rPr>
        <w:t>国外</w:t>
      </w:r>
      <w:r>
        <w:rPr>
          <w:rFonts w:hint="eastAsia" w:ascii="仿宋_GB2312" w:hAnsi="仿宋_GB2312" w:eastAsia="仿宋_GB2312" w:cs="仿宋_GB2312"/>
          <w:color w:val="auto"/>
          <w:sz w:val="32"/>
          <w:szCs w:val="32"/>
          <w:highlight w:val="none"/>
          <w:u w:val="none" w:color="auto"/>
          <w:lang w:val="zh-TW" w:eastAsia="zh-TW"/>
        </w:rPr>
        <w:t>农业优势科技和理念的</w:t>
      </w:r>
      <w:r>
        <w:rPr>
          <w:rFonts w:hint="eastAsia" w:ascii="仿宋_GB2312" w:hAnsi="仿宋_GB2312" w:eastAsia="仿宋_GB2312" w:cs="仿宋_GB2312"/>
          <w:color w:val="auto"/>
          <w:sz w:val="32"/>
          <w:szCs w:val="32"/>
          <w:highlight w:val="none"/>
          <w:u w:val="none" w:color="auto"/>
          <w:lang w:val="zh-TW" w:eastAsia="zh-CN"/>
        </w:rPr>
        <w:t>农业</w:t>
      </w:r>
      <w:r>
        <w:rPr>
          <w:rFonts w:hint="eastAsia" w:ascii="仿宋_GB2312" w:hAnsi="仿宋_GB2312" w:eastAsia="仿宋_GB2312" w:cs="仿宋_GB2312"/>
          <w:color w:val="auto"/>
          <w:sz w:val="32"/>
          <w:szCs w:val="32"/>
          <w:highlight w:val="none"/>
          <w:u w:val="none" w:color="auto"/>
          <w:lang w:val="zh-TW" w:eastAsia="zh-TW"/>
        </w:rPr>
        <w:t>新型主体，</w:t>
      </w:r>
      <w:r>
        <w:rPr>
          <w:rFonts w:hint="eastAsia" w:ascii="仿宋_GB2312" w:hAnsi="仿宋_GB2312" w:eastAsia="仿宋_GB2312" w:cs="仿宋_GB2312"/>
          <w:color w:val="auto"/>
          <w:sz w:val="32"/>
          <w:szCs w:val="32"/>
          <w:highlight w:val="none"/>
          <w:u w:val="none" w:color="auto"/>
          <w:lang w:val="zh-TW" w:eastAsia="zh-CN"/>
        </w:rPr>
        <w:t>补贴</w:t>
      </w:r>
      <w:r>
        <w:rPr>
          <w:rFonts w:hint="eastAsia" w:ascii="仿宋_GB2312" w:hAnsi="仿宋_GB2312" w:eastAsia="仿宋_GB2312" w:cs="仿宋_GB2312"/>
          <w:color w:val="auto"/>
          <w:sz w:val="32"/>
          <w:szCs w:val="32"/>
          <w:highlight w:val="none"/>
          <w:u w:val="none" w:color="auto"/>
          <w:lang w:val="en-US" w:eastAsia="zh-CN"/>
        </w:rPr>
        <w:t>总额不超过</w:t>
      </w:r>
      <w:r>
        <w:rPr>
          <w:rFonts w:hint="eastAsia" w:ascii="仿宋_GB2312" w:hAnsi="仿宋_GB2312" w:eastAsia="仿宋_GB2312" w:cs="仿宋_GB2312"/>
          <w:color w:val="auto"/>
          <w:sz w:val="32"/>
          <w:szCs w:val="32"/>
          <w:highlight w:val="none"/>
          <w:u w:val="none" w:color="auto"/>
          <w:lang w:val="zh-TW" w:eastAsia="zh-TW"/>
        </w:rPr>
        <w:t>培训费用</w:t>
      </w:r>
      <w:r>
        <w:rPr>
          <w:rFonts w:hint="eastAsia" w:ascii="仿宋_GB2312" w:hAnsi="仿宋_GB2312" w:eastAsia="仿宋_GB2312" w:cs="仿宋_GB2312"/>
          <w:color w:val="auto"/>
          <w:sz w:val="32"/>
          <w:szCs w:val="32"/>
          <w:highlight w:val="none"/>
          <w:u w:val="none" w:color="auto"/>
          <w:lang w:val="zh-TW" w:eastAsia="zh-CN"/>
        </w:rPr>
        <w:t>的</w:t>
      </w:r>
      <w:r>
        <w:rPr>
          <w:rFonts w:hint="eastAsia" w:ascii="仿宋_GB2312" w:hAnsi="仿宋_GB2312" w:eastAsia="仿宋_GB2312" w:cs="仿宋_GB2312"/>
          <w:color w:val="auto"/>
          <w:sz w:val="32"/>
          <w:szCs w:val="32"/>
          <w:highlight w:val="none"/>
          <w:u w:val="none" w:color="auto"/>
          <w:lang w:val="zh-TW" w:eastAsia="zh-TW"/>
        </w:rPr>
        <w:t>70%</w:t>
      </w:r>
      <w:r>
        <w:rPr>
          <w:rFonts w:hint="eastAsia" w:ascii="仿宋_GB2312" w:hAnsi="仿宋_GB2312" w:eastAsia="仿宋_GB2312" w:cs="仿宋_GB2312"/>
          <w:color w:val="auto"/>
          <w:sz w:val="32"/>
          <w:szCs w:val="32"/>
          <w:highlight w:val="none"/>
          <w:u w:val="none" w:color="auto"/>
          <w:lang w:val="zh-TW"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zh-TW" w:eastAsia="zh-TW"/>
        </w:rPr>
      </w:pPr>
      <w:r>
        <w:rPr>
          <w:rFonts w:hint="eastAsia" w:ascii="仿宋_GB2312" w:hAnsi="仿宋_GB2312" w:eastAsia="仿宋_GB2312" w:cs="仿宋_GB2312"/>
          <w:color w:val="auto"/>
          <w:sz w:val="32"/>
          <w:szCs w:val="32"/>
          <w:highlight w:val="none"/>
          <w:u w:val="none" w:color="auto"/>
          <w:lang w:eastAsia="zh-CN"/>
        </w:rPr>
        <w:t>经区农业农村委认定，对年度考核合格的水稻家庭农场，每年补贴不高于2万元；对挂牌成立的博士农场，一次性给予20万元开办补贴。</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eastAsia="zh-CN"/>
        </w:rPr>
        <w:t>培育农业社会化服务主体，重点培育专业化、企业化从事农机耕种收、品牌营销、统防统治等方向的服务主体，补贴总额不超过</w:t>
      </w:r>
      <w:r>
        <w:rPr>
          <w:rFonts w:hint="eastAsia" w:ascii="仿宋_GB2312" w:hAnsi="仿宋_GB2312" w:eastAsia="仿宋_GB2312" w:cs="仿宋_GB2312"/>
          <w:color w:val="auto"/>
          <w:sz w:val="32"/>
          <w:szCs w:val="32"/>
          <w:highlight w:val="none"/>
          <w:u w:val="none" w:color="auto"/>
          <w:lang w:val="en-US" w:eastAsia="zh-CN"/>
        </w:rPr>
        <w:t>1000万元</w:t>
      </w:r>
      <w:r>
        <w:rPr>
          <w:rFonts w:hint="eastAsia" w:ascii="仿宋_GB2312" w:hAnsi="仿宋_GB2312" w:eastAsia="仿宋_GB2312" w:cs="仿宋_GB2312"/>
          <w:color w:val="auto"/>
          <w:sz w:val="32"/>
          <w:szCs w:val="32"/>
          <w:highlight w:val="none"/>
          <w:u w:val="none" w:color="auto"/>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对</w:t>
      </w:r>
      <w:r>
        <w:rPr>
          <w:rFonts w:hint="eastAsia" w:ascii="仿宋_GB2312" w:hAnsi="仿宋_GB2312" w:eastAsia="仿宋_GB2312" w:cs="仿宋_GB2312"/>
          <w:color w:val="auto"/>
          <w:sz w:val="32"/>
          <w:szCs w:val="32"/>
          <w:highlight w:val="none"/>
          <w:u w:val="none" w:color="auto"/>
          <w:lang w:eastAsia="zh-CN"/>
        </w:rPr>
        <w:t>农产品质量保险、本区户籍农民工基本人身意外伤害保险、</w:t>
      </w:r>
      <w:r>
        <w:rPr>
          <w:rFonts w:hint="eastAsia" w:ascii="仿宋_GB2312" w:hAnsi="仿宋_GB2312" w:eastAsia="仿宋_GB2312" w:cs="仿宋_GB2312"/>
          <w:color w:val="auto"/>
          <w:sz w:val="32"/>
          <w:szCs w:val="32"/>
          <w:highlight w:val="none"/>
          <w:u w:val="none" w:color="auto"/>
          <w:lang w:val="en-US" w:eastAsia="zh-CN"/>
        </w:rPr>
        <w:t>绿叶菜田头交易价格指数保险、蔬菜（单品）生产收入保险，补贴保费的90%。</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 w:eastAsia="楷体_GB2312" w:cs="楷体"/>
          <w:color w:val="auto"/>
          <w:sz w:val="32"/>
          <w:szCs w:val="32"/>
          <w:highlight w:val="none"/>
          <w:u w:val="none" w:color="auto"/>
          <w:lang w:eastAsia="zh-CN"/>
        </w:rPr>
      </w:pPr>
      <w:r>
        <w:rPr>
          <w:rFonts w:hint="eastAsia" w:ascii="楷体_GB2312" w:hAnsi="楷体" w:eastAsia="楷体_GB2312" w:cs="楷体"/>
          <w:color w:val="auto"/>
          <w:sz w:val="32"/>
          <w:szCs w:val="32"/>
          <w:highlight w:val="none"/>
          <w:u w:val="none" w:color="auto"/>
        </w:rPr>
        <w:t>（十</w:t>
      </w:r>
      <w:r>
        <w:rPr>
          <w:rFonts w:hint="eastAsia" w:ascii="楷体_GB2312" w:hAnsi="楷体" w:eastAsia="楷体_GB2312" w:cs="楷体"/>
          <w:color w:val="auto"/>
          <w:sz w:val="32"/>
          <w:szCs w:val="32"/>
          <w:highlight w:val="none"/>
          <w:u w:val="none" w:color="auto"/>
          <w:lang w:val="en-US" w:eastAsia="zh-CN"/>
        </w:rPr>
        <w:t>六</w:t>
      </w:r>
      <w:r>
        <w:rPr>
          <w:rFonts w:hint="eastAsia" w:ascii="楷体_GB2312" w:hAnsi="楷体" w:eastAsia="楷体_GB2312" w:cs="楷体"/>
          <w:color w:val="auto"/>
          <w:sz w:val="32"/>
          <w:szCs w:val="32"/>
          <w:highlight w:val="none"/>
          <w:u w:val="none" w:color="auto"/>
        </w:rPr>
        <w:t>）</w:t>
      </w:r>
      <w:r>
        <w:rPr>
          <w:rFonts w:hint="eastAsia" w:ascii="楷体_GB2312" w:hAnsi="楷体" w:eastAsia="楷体_GB2312" w:cs="楷体"/>
          <w:color w:val="auto"/>
          <w:sz w:val="32"/>
          <w:szCs w:val="32"/>
          <w:highlight w:val="none"/>
          <w:u w:val="none" w:color="auto"/>
          <w:lang w:eastAsia="zh-CN"/>
        </w:rPr>
        <w:t>促进农机装备升级改造</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eastAsia="zh-CN"/>
        </w:rPr>
        <w:t>用地手续合规，区财政对乡镇、区属国有企业建设粮食生产固定资产投资及农机装备补贴投资额的30%。</w:t>
      </w:r>
      <w:r>
        <w:rPr>
          <w:rFonts w:hint="eastAsia" w:ascii="仿宋_GB2312" w:hAnsi="仿宋_GB2312" w:eastAsia="仿宋_GB2312" w:cs="仿宋_GB2312"/>
          <w:color w:val="auto"/>
          <w:sz w:val="32"/>
          <w:szCs w:val="32"/>
          <w:highlight w:val="none"/>
          <w:u w:val="none" w:color="auto"/>
        </w:rPr>
        <w:t>对通过绿色</w:t>
      </w:r>
      <w:r>
        <w:rPr>
          <w:rFonts w:hint="eastAsia" w:ascii="仿宋_GB2312" w:hAnsi="仿宋_GB2312" w:eastAsia="仿宋_GB2312" w:cs="仿宋_GB2312"/>
          <w:color w:val="auto"/>
          <w:sz w:val="32"/>
          <w:szCs w:val="32"/>
          <w:highlight w:val="none"/>
          <w:u w:val="none" w:color="auto"/>
          <w:lang w:eastAsia="zh-CN"/>
        </w:rPr>
        <w:t>或</w:t>
      </w:r>
      <w:r>
        <w:rPr>
          <w:rFonts w:hint="eastAsia" w:ascii="仿宋_GB2312" w:hAnsi="仿宋_GB2312" w:eastAsia="仿宋_GB2312" w:cs="仿宋_GB2312"/>
          <w:color w:val="auto"/>
          <w:sz w:val="32"/>
          <w:szCs w:val="32"/>
          <w:highlight w:val="none"/>
          <w:u w:val="none" w:color="auto"/>
        </w:rPr>
        <w:t>有机食品认证、</w:t>
      </w:r>
      <w:r>
        <w:rPr>
          <w:rFonts w:hint="eastAsia" w:ascii="仿宋_GB2312" w:hAnsi="仿宋_GB2312" w:eastAsia="仿宋_GB2312" w:cs="仿宋_GB2312"/>
          <w:color w:val="auto"/>
          <w:sz w:val="32"/>
          <w:szCs w:val="32"/>
          <w:highlight w:val="none"/>
          <w:u w:val="none" w:color="auto"/>
          <w:lang w:eastAsia="zh-CN"/>
        </w:rPr>
        <w:t>基地规模</w:t>
      </w:r>
      <w:r>
        <w:rPr>
          <w:rFonts w:hint="eastAsia" w:ascii="仿宋_GB2312" w:hAnsi="仿宋_GB2312" w:eastAsia="仿宋_GB2312" w:cs="仿宋_GB2312"/>
          <w:color w:val="auto"/>
          <w:sz w:val="32"/>
          <w:szCs w:val="32"/>
          <w:highlight w:val="none"/>
          <w:u w:val="none" w:color="auto"/>
        </w:rPr>
        <w:t>300亩以上、对接市区市场</w:t>
      </w:r>
      <w:r>
        <w:rPr>
          <w:rFonts w:hint="eastAsia" w:ascii="仿宋_GB2312" w:hAnsi="仿宋_GB2312" w:eastAsia="仿宋_GB2312" w:cs="仿宋_GB2312"/>
          <w:color w:val="auto"/>
          <w:sz w:val="32"/>
          <w:szCs w:val="32"/>
          <w:highlight w:val="none"/>
          <w:u w:val="none" w:color="auto"/>
          <w:lang w:eastAsia="zh-CN"/>
        </w:rPr>
        <w:t>，</w:t>
      </w:r>
      <w:r>
        <w:rPr>
          <w:rFonts w:hint="eastAsia" w:ascii="仿宋_GB2312" w:hAnsi="仿宋_GB2312" w:eastAsia="仿宋_GB2312" w:cs="仿宋_GB2312"/>
          <w:color w:val="auto"/>
          <w:sz w:val="32"/>
          <w:szCs w:val="32"/>
          <w:highlight w:val="none"/>
          <w:u w:val="none" w:color="auto"/>
        </w:rPr>
        <w:t>建设规模适度的贮藏保鲜等初加工冷链设备的主体，补贴冷链设备投资额的50%。</w:t>
      </w:r>
      <w:r>
        <w:rPr>
          <w:rFonts w:hint="eastAsia" w:ascii="仿宋_GB2312" w:hAnsi="仿宋_GB2312" w:eastAsia="仿宋_GB2312" w:cs="仿宋_GB2312"/>
          <w:color w:val="auto"/>
          <w:sz w:val="32"/>
          <w:szCs w:val="32"/>
          <w:highlight w:val="none"/>
          <w:u w:val="none" w:color="auto"/>
          <w:lang w:val="en-US" w:eastAsia="zh-CN"/>
        </w:rPr>
        <w:t xml:space="preserve">  </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（十七）推动农业创新与科技兴农</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b w:val="0"/>
          <w:bCs w:val="0"/>
          <w:color w:val="auto"/>
          <w:sz w:val="32"/>
          <w:szCs w:val="32"/>
          <w:highlight w:val="none"/>
          <w:u w:val="none" w:color="auto"/>
          <w:lang w:eastAsia="zh-CN"/>
        </w:rPr>
        <w:t>鼓励经营主体开展农业科创培训和创新成果展示，</w:t>
      </w:r>
      <w:r>
        <w:rPr>
          <w:rFonts w:hint="eastAsia" w:ascii="仿宋_GB2312" w:hAnsi="楷体" w:eastAsia="仿宋_GB2312" w:cs="楷体"/>
          <w:color w:val="auto"/>
          <w:sz w:val="32"/>
          <w:szCs w:val="32"/>
          <w:highlight w:val="none"/>
          <w:u w:val="none" w:color="auto"/>
          <w:lang w:eastAsia="zh-CN"/>
        </w:rPr>
        <w:t>推动农业科创成果</w:t>
      </w:r>
      <w:r>
        <w:rPr>
          <w:rFonts w:hint="eastAsia" w:ascii="仿宋_GB2312" w:hAnsi="仿宋_GB2312" w:eastAsia="仿宋_GB2312" w:cs="仿宋_GB2312"/>
          <w:b w:val="0"/>
          <w:bCs w:val="0"/>
          <w:color w:val="auto"/>
          <w:sz w:val="32"/>
          <w:szCs w:val="32"/>
          <w:highlight w:val="none"/>
          <w:u w:val="none" w:color="auto"/>
          <w:lang w:eastAsia="zh-CN"/>
        </w:rPr>
        <w:t>转移、转化、应用及交易，</w:t>
      </w:r>
      <w:r>
        <w:rPr>
          <w:rFonts w:hint="eastAsia" w:ascii="仿宋_GB2312" w:hAnsi="仿宋_GB2312" w:eastAsia="仿宋_GB2312"/>
          <w:color w:val="auto"/>
          <w:sz w:val="32"/>
          <w:szCs w:val="32"/>
          <w:highlight w:val="none"/>
          <w:u w:val="none" w:color="auto"/>
          <w:lang w:eastAsia="zh-CN"/>
        </w:rPr>
        <w:t>补贴总额不超过</w:t>
      </w:r>
      <w:r>
        <w:rPr>
          <w:rFonts w:hint="eastAsia" w:ascii="仿宋_GB2312" w:hAnsi="仿宋_GB2312" w:eastAsia="仿宋_GB2312"/>
          <w:color w:val="auto"/>
          <w:sz w:val="32"/>
          <w:szCs w:val="32"/>
          <w:highlight w:val="none"/>
          <w:u w:val="none" w:color="auto"/>
          <w:lang w:val="en-US" w:eastAsia="zh-CN"/>
        </w:rPr>
        <w:t>200万元</w:t>
      </w:r>
      <w:r>
        <w:rPr>
          <w:rFonts w:hint="eastAsia" w:ascii="仿宋_GB2312" w:eastAsia="仿宋_GB2312"/>
          <w:color w:val="auto"/>
          <w:sz w:val="32"/>
          <w:szCs w:val="32"/>
          <w:highlight w:val="none"/>
          <w:u w:val="none" w:color="auto"/>
          <w:lang w:eastAsia="zh-CN"/>
        </w:rPr>
        <w:t>；加强农机智能化管理应用，对试验示范无人农机、花卉专用农机给予专项补贴，对新购置农机安装定位系统，并接入区农业农村委农机管理平台，全额补贴加装设备及安装等费用</w:t>
      </w:r>
      <w:r>
        <w:rPr>
          <w:rFonts w:hint="eastAsia" w:ascii="仿宋_GB2312" w:eastAsia="仿宋_GB2312"/>
          <w:color w:val="auto"/>
          <w:sz w:val="32"/>
          <w:szCs w:val="32"/>
          <w:highlight w:val="none"/>
          <w:u w:val="none" w:color="auto"/>
          <w:lang w:val="en-US" w:eastAsia="zh-CN"/>
        </w:rPr>
        <w:t>；</w:t>
      </w:r>
      <w:r>
        <w:rPr>
          <w:rFonts w:hint="eastAsia" w:ascii="仿宋_GB2312" w:hAnsi="仿宋_GB2312" w:eastAsia="仿宋_GB2312" w:cs="仿宋_GB2312"/>
          <w:color w:val="auto"/>
          <w:sz w:val="32"/>
          <w:szCs w:val="32"/>
          <w:highlight w:val="none"/>
          <w:u w:val="none" w:color="auto"/>
        </w:rPr>
        <w:t>按照先建后补</w:t>
      </w:r>
      <w:r>
        <w:rPr>
          <w:rFonts w:hint="eastAsia" w:ascii="仿宋_GB2312" w:hAnsi="仿宋_GB2312" w:eastAsia="仿宋_GB2312" w:cs="仿宋_GB2312"/>
          <w:color w:val="auto"/>
          <w:sz w:val="32"/>
          <w:szCs w:val="32"/>
          <w:highlight w:val="none"/>
          <w:u w:val="none" w:color="auto"/>
          <w:lang w:eastAsia="zh-CN"/>
        </w:rPr>
        <w:t>、科技领先等</w:t>
      </w:r>
      <w:r>
        <w:rPr>
          <w:rFonts w:hint="eastAsia" w:ascii="仿宋_GB2312" w:hAnsi="仿宋_GB2312" w:eastAsia="仿宋_GB2312" w:cs="仿宋_GB2312"/>
          <w:color w:val="auto"/>
          <w:sz w:val="32"/>
          <w:szCs w:val="32"/>
          <w:highlight w:val="none"/>
          <w:u w:val="none" w:color="auto"/>
        </w:rPr>
        <w:t>原则，</w:t>
      </w:r>
      <w:r>
        <w:rPr>
          <w:rFonts w:hint="eastAsia" w:ascii="仿宋_GB2312" w:hAnsi="仿宋_GB2312" w:eastAsia="仿宋_GB2312" w:cs="仿宋_GB2312"/>
          <w:color w:val="auto"/>
          <w:sz w:val="32"/>
          <w:szCs w:val="32"/>
          <w:highlight w:val="none"/>
          <w:u w:val="none" w:color="auto"/>
          <w:lang w:eastAsia="zh-CN"/>
        </w:rPr>
        <w:t>对</w:t>
      </w:r>
      <w:r>
        <w:rPr>
          <w:rFonts w:hint="eastAsia" w:ascii="仿宋_GB2312" w:hAnsi="仿宋_GB2312" w:eastAsia="仿宋_GB2312" w:cs="仿宋_GB2312"/>
          <w:color w:val="auto"/>
          <w:sz w:val="32"/>
          <w:szCs w:val="32"/>
          <w:highlight w:val="none"/>
          <w:u w:val="none" w:color="auto"/>
        </w:rPr>
        <w:t>农业主体</w:t>
      </w:r>
      <w:r>
        <w:rPr>
          <w:rFonts w:hint="eastAsia" w:ascii="仿宋_GB2312" w:hAnsi="仿宋_GB2312" w:eastAsia="仿宋_GB2312" w:cs="仿宋_GB2312"/>
          <w:color w:val="auto"/>
          <w:sz w:val="32"/>
          <w:szCs w:val="32"/>
          <w:highlight w:val="none"/>
          <w:u w:val="none" w:color="auto"/>
          <w:lang w:eastAsia="zh-CN"/>
        </w:rPr>
        <w:t>建设完成的新科技、新技术应用示范项目</w:t>
      </w:r>
      <w:r>
        <w:rPr>
          <w:rFonts w:hint="eastAsia" w:ascii="仿宋_GB2312" w:hAnsi="仿宋_GB2312" w:eastAsia="仿宋_GB2312" w:cs="仿宋_GB2312"/>
          <w:color w:val="auto"/>
          <w:sz w:val="32"/>
          <w:szCs w:val="32"/>
          <w:highlight w:val="none"/>
          <w:u w:val="none" w:color="auto"/>
        </w:rPr>
        <w:t>，</w:t>
      </w:r>
      <w:r>
        <w:rPr>
          <w:rFonts w:hint="eastAsia" w:ascii="仿宋_GB2312" w:hAnsi="仿宋_GB2312" w:eastAsia="仿宋_GB2312" w:cs="仿宋_GB2312"/>
          <w:color w:val="auto"/>
          <w:sz w:val="32"/>
          <w:szCs w:val="32"/>
          <w:highlight w:val="none"/>
          <w:u w:val="none" w:color="auto"/>
          <w:lang w:eastAsia="zh-CN"/>
        </w:rPr>
        <w:t>按照效果评价分级实施</w:t>
      </w:r>
      <w:r>
        <w:rPr>
          <w:rFonts w:hint="eastAsia" w:ascii="仿宋_GB2312" w:hAnsi="仿宋_GB2312" w:eastAsia="仿宋_GB2312" w:cs="仿宋_GB2312"/>
          <w:color w:val="auto"/>
          <w:sz w:val="32"/>
          <w:szCs w:val="32"/>
          <w:highlight w:val="none"/>
          <w:u w:val="none" w:color="auto"/>
        </w:rPr>
        <w:t>投资额补贴</w:t>
      </w:r>
      <w:r>
        <w:rPr>
          <w:rFonts w:hint="eastAsia" w:ascii="仿宋_GB2312" w:hAnsi="仿宋_GB2312" w:eastAsia="仿宋_GB2312" w:cs="仿宋_GB2312"/>
          <w:color w:val="auto"/>
          <w:sz w:val="32"/>
          <w:szCs w:val="32"/>
          <w:highlight w:val="none"/>
          <w:u w:val="none" w:color="auto"/>
          <w:lang w:eastAsia="zh-CN"/>
        </w:rPr>
        <w:t>，补贴比例不超过</w:t>
      </w:r>
      <w:r>
        <w:rPr>
          <w:rFonts w:hint="eastAsia" w:ascii="仿宋_GB2312" w:hAnsi="仿宋_GB2312" w:eastAsia="仿宋_GB2312" w:cs="仿宋_GB2312"/>
          <w:color w:val="auto"/>
          <w:sz w:val="32"/>
          <w:szCs w:val="32"/>
          <w:highlight w:val="none"/>
          <w:u w:val="none" w:color="auto"/>
          <w:lang w:val="en-US" w:eastAsia="zh-CN"/>
        </w:rPr>
        <w:t>5</w:t>
      </w:r>
      <w:r>
        <w:rPr>
          <w:rFonts w:hint="eastAsia" w:ascii="仿宋_GB2312" w:hAnsi="仿宋_GB2312" w:eastAsia="仿宋_GB2312" w:cs="仿宋_GB2312"/>
          <w:color w:val="auto"/>
          <w:sz w:val="32"/>
          <w:szCs w:val="32"/>
          <w:highlight w:val="none"/>
          <w:u w:val="none" w:color="auto"/>
        </w:rPr>
        <w:t>0%</w:t>
      </w:r>
      <w:r>
        <w:rPr>
          <w:rFonts w:hint="eastAsia" w:ascii="仿宋_GB2312" w:hAnsi="仿宋_GB2312" w:eastAsia="仿宋_GB2312" w:cs="仿宋_GB2312"/>
          <w:color w:val="auto"/>
          <w:sz w:val="32"/>
          <w:szCs w:val="32"/>
          <w:highlight w:val="none"/>
          <w:u w:val="none" w:color="auto"/>
          <w:lang w:eastAsia="zh-CN"/>
        </w:rPr>
        <w:t>，补贴项目总额</w:t>
      </w:r>
      <w:r>
        <w:rPr>
          <w:rFonts w:hint="eastAsia" w:ascii="仿宋_GB2312" w:hAnsi="仿宋_GB2312" w:eastAsia="仿宋_GB2312" w:cs="仿宋_GB2312"/>
          <w:color w:val="auto"/>
          <w:sz w:val="32"/>
          <w:szCs w:val="32"/>
          <w:highlight w:val="none"/>
          <w:u w:val="none" w:color="auto"/>
        </w:rPr>
        <w:t>不超过</w:t>
      </w:r>
      <w:r>
        <w:rPr>
          <w:rFonts w:hint="eastAsia" w:ascii="仿宋_GB2312" w:hAnsi="仿宋_GB2312" w:eastAsia="仿宋_GB2312" w:cs="仿宋_GB2312"/>
          <w:color w:val="auto"/>
          <w:sz w:val="32"/>
          <w:szCs w:val="32"/>
          <w:highlight w:val="none"/>
          <w:u w:val="none" w:color="auto"/>
          <w:lang w:val="en-US" w:eastAsia="zh-CN"/>
        </w:rPr>
        <w:t>30</w:t>
      </w:r>
      <w:r>
        <w:rPr>
          <w:rFonts w:hint="eastAsia" w:ascii="仿宋_GB2312" w:hAnsi="仿宋_GB2312" w:eastAsia="仿宋_GB2312" w:cs="仿宋_GB2312"/>
          <w:color w:val="auto"/>
          <w:sz w:val="32"/>
          <w:szCs w:val="32"/>
          <w:highlight w:val="none"/>
          <w:u w:val="none" w:color="auto"/>
        </w:rPr>
        <w:t>0万元。</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黑体" w:hAnsi="黑体" w:eastAsia="黑体" w:cs="黑体"/>
          <w:color w:val="auto"/>
          <w:sz w:val="32"/>
          <w:szCs w:val="32"/>
          <w:highlight w:val="none"/>
          <w:u w:val="none" w:color="auto"/>
          <w:lang w:eastAsia="zh-CN"/>
        </w:rPr>
      </w:pPr>
      <w:r>
        <w:rPr>
          <w:rFonts w:hint="eastAsia" w:ascii="黑体" w:hAnsi="黑体" w:eastAsia="黑体" w:cs="黑体"/>
          <w:color w:val="auto"/>
          <w:sz w:val="32"/>
          <w:szCs w:val="32"/>
          <w:highlight w:val="none"/>
          <w:u w:val="none" w:color="auto"/>
          <w:lang w:eastAsia="zh-CN"/>
        </w:rPr>
        <w:t>七、不予补贴若干情形</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（十八）严重违反财经纪律</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rPr>
        <w:t>严格执行财经纪律，如有下列情况之一，取消相关补贴并停止后三年相关涉农补贴和项目申报。严重违反财经纪律</w:t>
      </w:r>
      <w:r>
        <w:rPr>
          <w:rFonts w:hint="eastAsia" w:ascii="仿宋_GB2312" w:hAnsi="仿宋_GB2312" w:eastAsia="仿宋_GB2312" w:cs="仿宋_GB2312"/>
          <w:color w:val="auto"/>
          <w:sz w:val="32"/>
          <w:szCs w:val="32"/>
          <w:highlight w:val="none"/>
          <w:u w:val="none" w:color="auto"/>
          <w:lang w:val="en-US" w:eastAsia="zh-CN"/>
        </w:rPr>
        <w:t>的主体</w:t>
      </w:r>
      <w:r>
        <w:rPr>
          <w:rFonts w:hint="eastAsia" w:ascii="仿宋_GB2312" w:hAnsi="仿宋_GB2312" w:eastAsia="仿宋_GB2312" w:cs="仿宋_GB2312"/>
          <w:color w:val="auto"/>
          <w:sz w:val="32"/>
          <w:szCs w:val="32"/>
          <w:highlight w:val="none"/>
          <w:u w:val="none" w:color="auto"/>
        </w:rPr>
        <w:t>，移交司法部门处理。</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rPr>
        <w:t>1.弄虚作假，</w:t>
      </w:r>
      <w:r>
        <w:rPr>
          <w:rFonts w:hint="eastAsia" w:ascii="仿宋_GB2312" w:hAnsi="仿宋_GB2312" w:eastAsia="仿宋_GB2312" w:cs="仿宋_GB2312"/>
          <w:color w:val="auto"/>
          <w:sz w:val="32"/>
          <w:szCs w:val="32"/>
          <w:highlight w:val="none"/>
          <w:u w:val="none" w:color="auto"/>
          <w:lang w:eastAsia="zh-CN"/>
        </w:rPr>
        <w:t>重复申请补贴，</w:t>
      </w:r>
      <w:r>
        <w:rPr>
          <w:rFonts w:hint="eastAsia" w:ascii="仿宋_GB2312" w:hAnsi="仿宋_GB2312" w:eastAsia="仿宋_GB2312" w:cs="仿宋_GB2312"/>
          <w:color w:val="auto"/>
          <w:sz w:val="32"/>
          <w:szCs w:val="32"/>
          <w:highlight w:val="none"/>
          <w:u w:val="none" w:color="auto"/>
        </w:rPr>
        <w:t>骗取</w:t>
      </w:r>
      <w:r>
        <w:rPr>
          <w:rFonts w:hint="eastAsia" w:ascii="仿宋_GB2312" w:hAnsi="仿宋_GB2312" w:eastAsia="仿宋_GB2312" w:cs="仿宋_GB2312"/>
          <w:color w:val="auto"/>
          <w:sz w:val="32"/>
          <w:szCs w:val="32"/>
          <w:highlight w:val="none"/>
          <w:u w:val="none" w:color="auto"/>
          <w:lang w:eastAsia="zh-CN"/>
        </w:rPr>
        <w:t>财政</w:t>
      </w:r>
      <w:r>
        <w:rPr>
          <w:rFonts w:hint="eastAsia" w:ascii="仿宋_GB2312" w:hAnsi="仿宋_GB2312" w:eastAsia="仿宋_GB2312" w:cs="仿宋_GB2312"/>
          <w:color w:val="auto"/>
          <w:sz w:val="32"/>
          <w:szCs w:val="32"/>
          <w:highlight w:val="none"/>
          <w:u w:val="none" w:color="auto"/>
        </w:rPr>
        <w:t>补贴资金；</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rPr>
        <w:t>2.</w:t>
      </w:r>
      <w:r>
        <w:rPr>
          <w:rFonts w:hint="eastAsia" w:ascii="仿宋_GB2312" w:hAnsi="仿宋_GB2312" w:eastAsia="仿宋_GB2312" w:cs="仿宋_GB2312"/>
          <w:color w:val="auto"/>
          <w:sz w:val="32"/>
          <w:szCs w:val="32"/>
          <w:highlight w:val="none"/>
          <w:u w:val="none" w:color="auto"/>
          <w:lang w:eastAsia="zh-CN"/>
        </w:rPr>
        <w:t>存在“一户多卡”现象；合作社、公司等主体负责人以个人名义领取补贴；</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val="en-US" w:eastAsia="zh-CN"/>
        </w:rPr>
      </w:pPr>
      <w:r>
        <w:rPr>
          <w:rFonts w:hint="eastAsia" w:ascii="仿宋_GB2312" w:hAnsi="仿宋_GB2312" w:eastAsia="仿宋_GB2312" w:cs="仿宋_GB2312"/>
          <w:color w:val="auto"/>
          <w:sz w:val="32"/>
          <w:szCs w:val="32"/>
          <w:highlight w:val="none"/>
          <w:u w:val="none" w:color="auto"/>
          <w:lang w:val="en-US" w:eastAsia="zh-CN"/>
        </w:rPr>
        <w:t>3.</w:t>
      </w:r>
      <w:r>
        <w:rPr>
          <w:rFonts w:hint="eastAsia" w:ascii="仿宋_GB2312" w:hAnsi="仿宋_GB2312" w:eastAsia="仿宋_GB2312" w:cs="仿宋_GB2312"/>
          <w:color w:val="auto"/>
          <w:sz w:val="32"/>
          <w:szCs w:val="32"/>
          <w:highlight w:val="none"/>
          <w:u w:val="none" w:color="auto"/>
          <w:lang w:eastAsia="zh-CN"/>
        </w:rPr>
        <w:t>村干部以个人名义为村集体和非本市户籍人员代领补贴。</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val="en-US" w:eastAsia="zh-CN"/>
        </w:rPr>
      </w:pPr>
      <w:r>
        <w:rPr>
          <w:rFonts w:hint="eastAsia" w:ascii="楷体_GB2312" w:hAnsi="楷体_GB2312" w:eastAsia="楷体_GB2312" w:cs="楷体_GB2312"/>
          <w:b w:val="0"/>
          <w:bCs w:val="0"/>
          <w:color w:val="auto"/>
          <w:sz w:val="32"/>
          <w:szCs w:val="32"/>
          <w:highlight w:val="none"/>
          <w:u w:val="none" w:color="auto"/>
          <w:lang w:eastAsia="zh-CN"/>
        </w:rPr>
        <w:t>（十九）违反农业用地政策</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rPr>
        <w:t>对流转农户土地承包经营权从事种植业、养殖业的农业企业、专业合作社和种养大户，申请涉农政策补贴时，须取得镇(乡)农村土地流转服务中心规范流转土地的相应手续后，方可享受相应的政策补贴。</w:t>
      </w:r>
      <w:r>
        <w:rPr>
          <w:rFonts w:hint="eastAsia" w:ascii="仿宋_GB2312" w:hAnsi="仿宋_GB2312" w:eastAsia="仿宋_GB2312" w:cs="仿宋_GB2312"/>
          <w:color w:val="auto"/>
          <w:sz w:val="32"/>
          <w:szCs w:val="32"/>
          <w:highlight w:val="none"/>
          <w:u w:val="none" w:color="auto"/>
          <w:lang w:eastAsia="zh-CN"/>
        </w:rPr>
        <w:t>存在以下违规情形，不予补贴。</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val="en-US" w:eastAsia="zh-CN"/>
        </w:rPr>
        <w:t>1.</w:t>
      </w:r>
      <w:r>
        <w:rPr>
          <w:rFonts w:hint="eastAsia" w:ascii="仿宋_GB2312" w:hAnsi="仿宋_GB2312" w:eastAsia="仿宋_GB2312" w:cs="仿宋_GB2312"/>
          <w:color w:val="auto"/>
          <w:sz w:val="32"/>
          <w:szCs w:val="32"/>
          <w:highlight w:val="none"/>
          <w:u w:val="none" w:color="auto"/>
          <w:lang w:eastAsia="zh-CN"/>
        </w:rPr>
        <w:t>在土地流转过渡期间，乡镇未实施有效经营管理，存在50%以上的土地抛荒半年以上的；</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val="en-US" w:eastAsia="zh-CN"/>
        </w:rPr>
        <w:t>2.</w:t>
      </w:r>
      <w:r>
        <w:rPr>
          <w:rFonts w:hint="eastAsia" w:ascii="仿宋_GB2312" w:hAnsi="仿宋_GB2312" w:eastAsia="仿宋_GB2312" w:cs="仿宋_GB2312"/>
          <w:color w:val="auto"/>
          <w:sz w:val="32"/>
          <w:szCs w:val="32"/>
          <w:highlight w:val="none"/>
          <w:u w:val="none" w:color="auto"/>
          <w:lang w:eastAsia="zh-CN"/>
        </w:rPr>
        <w:t>过渡性流转土地存在“钉子”的；</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val="en-US" w:eastAsia="zh-CN"/>
        </w:rPr>
        <w:t>3.</w:t>
      </w:r>
      <w:r>
        <w:rPr>
          <w:rFonts w:hint="eastAsia" w:ascii="仿宋_GB2312" w:hAnsi="仿宋_GB2312" w:eastAsia="仿宋_GB2312" w:cs="仿宋_GB2312"/>
          <w:color w:val="auto"/>
          <w:sz w:val="32"/>
          <w:szCs w:val="32"/>
          <w:highlight w:val="none"/>
          <w:u w:val="none" w:color="auto"/>
          <w:lang w:eastAsia="zh-CN"/>
        </w:rPr>
        <w:t>过渡性流转土地内存在卫片违法违规用地的。</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楷体_GB2312" w:hAnsi="楷体_GB2312" w:eastAsia="楷体_GB2312" w:cs="楷体_GB2312"/>
          <w:b w:val="0"/>
          <w:bCs w:val="0"/>
          <w:color w:val="auto"/>
          <w:sz w:val="32"/>
          <w:szCs w:val="32"/>
          <w:highlight w:val="none"/>
          <w:u w:val="none" w:color="auto"/>
          <w:lang w:eastAsia="zh-CN"/>
        </w:rPr>
      </w:pPr>
      <w:r>
        <w:rPr>
          <w:rFonts w:hint="eastAsia" w:ascii="楷体_GB2312" w:hAnsi="楷体_GB2312" w:eastAsia="楷体_GB2312" w:cs="楷体_GB2312"/>
          <w:b w:val="0"/>
          <w:bCs w:val="0"/>
          <w:color w:val="auto"/>
          <w:sz w:val="32"/>
          <w:szCs w:val="32"/>
          <w:highlight w:val="none"/>
          <w:u w:val="none" w:color="auto"/>
          <w:lang w:eastAsia="zh-CN"/>
        </w:rPr>
        <w:t>（二十）违反农业安全生产相关规定</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val="en-US" w:eastAsia="zh-CN"/>
        </w:rPr>
        <w:t>1</w:t>
      </w:r>
      <w:r>
        <w:rPr>
          <w:rFonts w:hint="eastAsia" w:ascii="仿宋_GB2312" w:hAnsi="仿宋_GB2312" w:eastAsia="仿宋_GB2312" w:cs="仿宋_GB2312"/>
          <w:color w:val="auto"/>
          <w:sz w:val="32"/>
          <w:szCs w:val="32"/>
          <w:highlight w:val="none"/>
          <w:u w:val="none" w:color="auto"/>
        </w:rPr>
        <w:t>.破坏农业环境</w:t>
      </w:r>
      <w:r>
        <w:rPr>
          <w:rFonts w:hint="eastAsia" w:ascii="仿宋_GB2312" w:hAnsi="仿宋_GB2312" w:eastAsia="仿宋_GB2312" w:cs="仿宋_GB2312"/>
          <w:color w:val="auto"/>
          <w:sz w:val="32"/>
          <w:szCs w:val="32"/>
          <w:highlight w:val="none"/>
          <w:u w:val="none" w:color="auto"/>
          <w:lang w:eastAsia="zh-CN"/>
        </w:rPr>
        <w:t>、</w:t>
      </w:r>
      <w:r>
        <w:rPr>
          <w:rFonts w:hint="eastAsia" w:ascii="仿宋_GB2312" w:hAnsi="仿宋_GB2312" w:eastAsia="仿宋_GB2312" w:cs="仿宋_GB2312"/>
          <w:color w:val="auto"/>
          <w:sz w:val="32"/>
          <w:szCs w:val="32"/>
          <w:highlight w:val="none"/>
          <w:u w:val="none" w:color="auto"/>
        </w:rPr>
        <w:t>发生农产品质量安全事故</w:t>
      </w:r>
      <w:r>
        <w:rPr>
          <w:rFonts w:hint="eastAsia" w:ascii="仿宋_GB2312" w:hAnsi="仿宋_GB2312" w:eastAsia="仿宋_GB2312" w:cs="仿宋_GB2312"/>
          <w:color w:val="auto"/>
          <w:sz w:val="32"/>
          <w:szCs w:val="32"/>
          <w:highlight w:val="none"/>
          <w:u w:val="none" w:color="auto"/>
          <w:lang w:eastAsia="zh-CN"/>
        </w:rPr>
        <w:t>；</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lang w:eastAsia="zh-CN"/>
        </w:rPr>
      </w:pPr>
      <w:r>
        <w:rPr>
          <w:rFonts w:hint="eastAsia" w:ascii="仿宋_GB2312" w:hAnsi="仿宋_GB2312" w:eastAsia="仿宋_GB2312" w:cs="仿宋_GB2312"/>
          <w:color w:val="auto"/>
          <w:sz w:val="32"/>
          <w:szCs w:val="32"/>
          <w:highlight w:val="none"/>
          <w:u w:val="none" w:color="auto"/>
          <w:lang w:val="en-US" w:eastAsia="zh-CN"/>
        </w:rPr>
        <w:t>2.</w:t>
      </w:r>
      <w:r>
        <w:rPr>
          <w:rFonts w:hint="eastAsia" w:ascii="仿宋_GB2312" w:hAnsi="仿宋_GB2312" w:eastAsia="仿宋_GB2312" w:cs="仿宋_GB2312"/>
          <w:color w:val="auto"/>
          <w:sz w:val="32"/>
          <w:szCs w:val="32"/>
          <w:highlight w:val="none"/>
          <w:u w:val="none" w:color="auto"/>
          <w:lang w:eastAsia="zh-CN"/>
        </w:rPr>
        <w:t>农业生产经营失信及列入</w:t>
      </w:r>
      <w:r>
        <w:rPr>
          <w:rFonts w:hint="eastAsia" w:ascii="仿宋_GB2312" w:hAnsi="黑体" w:eastAsia="仿宋_GB2312" w:cs="仿宋_GB2312"/>
          <w:color w:val="auto"/>
          <w:sz w:val="32"/>
          <w:highlight w:val="none"/>
          <w:u w:val="none" w:color="auto"/>
        </w:rPr>
        <w:t>绿色农业负面</w:t>
      </w:r>
      <w:r>
        <w:rPr>
          <w:rFonts w:hint="eastAsia" w:ascii="仿宋_GB2312" w:hAnsi="黑体" w:eastAsia="仿宋_GB2312" w:cs="仿宋_GB2312"/>
          <w:color w:val="auto"/>
          <w:sz w:val="32"/>
          <w:highlight w:val="none"/>
          <w:u w:val="none" w:color="auto"/>
          <w:lang w:eastAsia="zh-CN"/>
        </w:rPr>
        <w:t>清单等</w:t>
      </w:r>
      <w:r>
        <w:rPr>
          <w:rFonts w:hint="eastAsia" w:ascii="仿宋_GB2312" w:hAnsi="仿宋_GB2312" w:eastAsia="仿宋_GB2312" w:cs="仿宋_GB2312"/>
          <w:color w:val="auto"/>
          <w:sz w:val="32"/>
          <w:szCs w:val="32"/>
          <w:highlight w:val="none"/>
          <w:u w:val="none" w:color="auto"/>
        </w:rPr>
        <w:t>。</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黑体" w:hAnsi="黑体" w:eastAsia="黑体" w:cs="黑体"/>
          <w:color w:val="auto"/>
          <w:sz w:val="32"/>
          <w:szCs w:val="32"/>
          <w:highlight w:val="none"/>
          <w:u w:val="none" w:color="auto"/>
        </w:rPr>
      </w:pPr>
      <w:r>
        <w:rPr>
          <w:rFonts w:hint="eastAsia" w:ascii="黑体" w:hAnsi="黑体" w:eastAsia="黑体" w:cs="黑体"/>
          <w:color w:val="auto"/>
          <w:sz w:val="32"/>
          <w:szCs w:val="32"/>
          <w:highlight w:val="none"/>
          <w:u w:val="none" w:color="auto"/>
          <w:lang w:eastAsia="zh-CN"/>
        </w:rPr>
        <w:t>八</w:t>
      </w:r>
      <w:r>
        <w:rPr>
          <w:rFonts w:hint="eastAsia" w:ascii="黑体" w:hAnsi="黑体" w:eastAsia="黑体" w:cs="黑体"/>
          <w:color w:val="auto"/>
          <w:sz w:val="32"/>
          <w:szCs w:val="32"/>
          <w:highlight w:val="none"/>
          <w:u w:val="none" w:color="auto"/>
        </w:rPr>
        <w:t>、附则</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楷体_GB2312" w:hAnsi="楷体" w:eastAsia="楷体_GB2312" w:cs="楷体"/>
          <w:color w:val="auto"/>
          <w:sz w:val="32"/>
          <w:szCs w:val="32"/>
          <w:highlight w:val="none"/>
          <w:u w:val="none" w:color="auto"/>
        </w:rPr>
        <w:t>（</w:t>
      </w:r>
      <w:r>
        <w:rPr>
          <w:rFonts w:hint="eastAsia" w:ascii="楷体_GB2312" w:hAnsi="楷体" w:eastAsia="楷体_GB2312" w:cs="楷体"/>
          <w:color w:val="auto"/>
          <w:sz w:val="32"/>
          <w:szCs w:val="32"/>
          <w:highlight w:val="none"/>
          <w:u w:val="none" w:color="auto"/>
          <w:lang w:val="en-US" w:eastAsia="zh-CN"/>
        </w:rPr>
        <w:t>二十一</w:t>
      </w:r>
      <w:r>
        <w:rPr>
          <w:rFonts w:hint="eastAsia" w:ascii="楷体_GB2312" w:hAnsi="楷体" w:eastAsia="楷体_GB2312" w:cs="楷体"/>
          <w:color w:val="auto"/>
          <w:sz w:val="32"/>
          <w:szCs w:val="32"/>
          <w:highlight w:val="none"/>
          <w:u w:val="none" w:color="auto"/>
        </w:rPr>
        <w:t>）</w:t>
      </w:r>
      <w:r>
        <w:rPr>
          <w:rFonts w:hint="eastAsia" w:ascii="仿宋_GB2312" w:hAnsi="仿宋_GB2312" w:eastAsia="仿宋_GB2312" w:cs="仿宋_GB2312"/>
          <w:color w:val="auto"/>
          <w:sz w:val="32"/>
          <w:szCs w:val="32"/>
          <w:highlight w:val="none"/>
          <w:u w:val="none" w:color="auto"/>
          <w:lang w:eastAsia="zh-CN"/>
        </w:rPr>
        <w:t>本意见中有关</w:t>
      </w:r>
      <w:r>
        <w:rPr>
          <w:rFonts w:hint="eastAsia" w:ascii="仿宋_GB2312" w:hAnsi="仿宋_GB2312" w:eastAsia="仿宋_GB2312" w:cs="仿宋_GB2312"/>
          <w:color w:val="auto"/>
          <w:sz w:val="32"/>
          <w:szCs w:val="32"/>
          <w:highlight w:val="none"/>
          <w:u w:val="none" w:color="auto"/>
          <w:lang w:val="en-US" w:eastAsia="zh-CN"/>
        </w:rPr>
        <w:t>普惠制综合补贴、壮大优势特色产业、坚持农业生态与农产品安全、促进品牌建设与发展订单农业、推动农业产业转型升级、打造崇明“两无化”品牌</w:t>
      </w:r>
      <w:r>
        <w:rPr>
          <w:rFonts w:hint="eastAsia" w:ascii="仿宋_GB2312" w:hAnsi="仿宋_GB2312" w:eastAsia="仿宋_GB2312" w:cs="仿宋_GB2312"/>
          <w:color w:val="auto"/>
          <w:sz w:val="32"/>
          <w:szCs w:val="32"/>
          <w:highlight w:val="none"/>
          <w:u w:val="none" w:color="auto"/>
          <w:lang w:eastAsia="zh-CN"/>
        </w:rPr>
        <w:t>等，</w:t>
      </w:r>
      <w:r>
        <w:rPr>
          <w:rFonts w:hint="eastAsia" w:ascii="仿宋_GB2312" w:hAnsi="仿宋_GB2312" w:eastAsia="仿宋_GB2312" w:cs="仿宋_GB2312"/>
          <w:color w:val="auto"/>
          <w:sz w:val="32"/>
          <w:szCs w:val="32"/>
          <w:highlight w:val="none"/>
          <w:u w:val="none" w:color="auto"/>
        </w:rPr>
        <w:t>由各镇(乡)人民政府作为责任主体负责实施，</w:t>
      </w:r>
      <w:r>
        <w:rPr>
          <w:rFonts w:hint="eastAsia" w:ascii="仿宋_GB2312" w:hAnsi="仿宋_GB2312" w:eastAsia="仿宋_GB2312" w:cs="仿宋_GB2312"/>
          <w:color w:val="auto"/>
          <w:sz w:val="32"/>
          <w:szCs w:val="32"/>
          <w:highlight w:val="none"/>
          <w:u w:val="none" w:color="auto"/>
          <w:lang w:eastAsia="zh-CN"/>
        </w:rPr>
        <w:t>区农业农村委</w:t>
      </w:r>
      <w:r>
        <w:rPr>
          <w:rFonts w:hint="eastAsia" w:ascii="仿宋_GB2312" w:hAnsi="仿宋_GB2312" w:eastAsia="仿宋_GB2312" w:cs="仿宋_GB2312"/>
          <w:color w:val="auto"/>
          <w:sz w:val="32"/>
          <w:szCs w:val="32"/>
          <w:highlight w:val="none"/>
          <w:u w:val="none" w:color="auto"/>
        </w:rPr>
        <w:t>、区财政局负责指导和考核。扶持补贴由实施单位、个人向所在镇(乡)提出申请，所在镇(乡)审核并报</w:t>
      </w:r>
      <w:r>
        <w:rPr>
          <w:rFonts w:hint="eastAsia" w:ascii="仿宋_GB2312" w:hAnsi="仿宋_GB2312" w:eastAsia="仿宋_GB2312" w:cs="仿宋_GB2312"/>
          <w:color w:val="auto"/>
          <w:sz w:val="32"/>
          <w:szCs w:val="32"/>
          <w:highlight w:val="none"/>
          <w:u w:val="none" w:color="auto"/>
          <w:lang w:eastAsia="zh-CN"/>
        </w:rPr>
        <w:t>区农业农村委</w:t>
      </w:r>
      <w:r>
        <w:rPr>
          <w:rFonts w:hint="eastAsia" w:ascii="仿宋_GB2312" w:hAnsi="仿宋_GB2312" w:eastAsia="仿宋_GB2312" w:cs="仿宋_GB2312"/>
          <w:color w:val="auto"/>
          <w:sz w:val="32"/>
          <w:szCs w:val="32"/>
          <w:highlight w:val="none"/>
          <w:u w:val="none" w:color="auto"/>
        </w:rPr>
        <w:t>和区财政局共同确认后，予以拨付。</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ascii="仿宋_GB2312" w:hAnsi="仿宋_GB2312" w:eastAsia="仿宋_GB2312" w:cs="仿宋_GB2312"/>
          <w:color w:val="auto"/>
          <w:sz w:val="32"/>
          <w:szCs w:val="32"/>
          <w:highlight w:val="none"/>
          <w:u w:val="none" w:color="auto"/>
        </w:rPr>
      </w:pPr>
      <w:r>
        <w:rPr>
          <w:rFonts w:hint="eastAsia" w:ascii="楷体_GB2312" w:hAnsi="楷体" w:eastAsia="楷体_GB2312" w:cs="楷体"/>
          <w:color w:val="auto"/>
          <w:sz w:val="32"/>
          <w:szCs w:val="32"/>
          <w:highlight w:val="none"/>
          <w:u w:val="none" w:color="auto"/>
        </w:rPr>
        <w:t>（二十</w:t>
      </w:r>
      <w:r>
        <w:rPr>
          <w:rFonts w:hint="eastAsia" w:ascii="楷体_GB2312" w:hAnsi="楷体" w:eastAsia="楷体_GB2312" w:cs="楷体"/>
          <w:color w:val="auto"/>
          <w:sz w:val="32"/>
          <w:szCs w:val="32"/>
          <w:highlight w:val="none"/>
          <w:u w:val="none" w:color="auto"/>
          <w:lang w:val="en-US" w:eastAsia="zh-CN"/>
        </w:rPr>
        <w:t>二</w:t>
      </w:r>
      <w:r>
        <w:rPr>
          <w:rFonts w:hint="eastAsia" w:ascii="楷体_GB2312" w:hAnsi="楷体" w:eastAsia="楷体_GB2312" w:cs="楷体"/>
          <w:color w:val="auto"/>
          <w:sz w:val="32"/>
          <w:szCs w:val="32"/>
          <w:highlight w:val="none"/>
          <w:u w:val="none" w:color="auto"/>
        </w:rPr>
        <w:t>）</w:t>
      </w:r>
      <w:r>
        <w:rPr>
          <w:rFonts w:hint="eastAsia" w:ascii="仿宋_GB2312" w:hAnsi="仿宋_GB2312" w:eastAsia="仿宋_GB2312" w:cs="仿宋_GB2312"/>
          <w:color w:val="auto"/>
          <w:sz w:val="32"/>
          <w:szCs w:val="32"/>
          <w:highlight w:val="none"/>
          <w:u w:val="none" w:color="auto"/>
        </w:rPr>
        <w:t>本意见由</w:t>
      </w:r>
      <w:r>
        <w:rPr>
          <w:rFonts w:hint="eastAsia" w:ascii="仿宋_GB2312" w:hAnsi="仿宋_GB2312" w:eastAsia="仿宋_GB2312" w:cs="仿宋_GB2312"/>
          <w:color w:val="auto"/>
          <w:sz w:val="32"/>
          <w:szCs w:val="32"/>
          <w:highlight w:val="none"/>
          <w:u w:val="none" w:color="auto"/>
          <w:lang w:eastAsia="zh-CN"/>
        </w:rPr>
        <w:t>区农业农村委会同</w:t>
      </w:r>
      <w:r>
        <w:rPr>
          <w:rFonts w:hint="eastAsia" w:ascii="仿宋_GB2312" w:hAnsi="仿宋_GB2312" w:eastAsia="仿宋_GB2312" w:cs="仿宋_GB2312"/>
          <w:color w:val="auto"/>
          <w:sz w:val="32"/>
          <w:szCs w:val="32"/>
          <w:highlight w:val="none"/>
          <w:u w:val="none" w:color="auto"/>
        </w:rPr>
        <w:t>区财政局负责解释，具体实施细则由</w:t>
      </w:r>
      <w:r>
        <w:rPr>
          <w:rFonts w:hint="eastAsia" w:ascii="仿宋_GB2312" w:hAnsi="仿宋_GB2312" w:eastAsia="仿宋_GB2312" w:cs="仿宋_GB2312"/>
          <w:color w:val="auto"/>
          <w:sz w:val="32"/>
          <w:szCs w:val="32"/>
          <w:highlight w:val="none"/>
          <w:u w:val="none" w:color="auto"/>
          <w:lang w:eastAsia="zh-CN"/>
        </w:rPr>
        <w:t>区农业农村委会同区财政局</w:t>
      </w:r>
      <w:r>
        <w:rPr>
          <w:rFonts w:hint="eastAsia" w:ascii="仿宋_GB2312" w:hAnsi="仿宋_GB2312" w:eastAsia="仿宋_GB2312" w:cs="仿宋_GB2312"/>
          <w:color w:val="auto"/>
          <w:sz w:val="32"/>
          <w:szCs w:val="32"/>
          <w:highlight w:val="none"/>
          <w:u w:val="none" w:color="auto"/>
        </w:rPr>
        <w:t>负责制订</w:t>
      </w:r>
      <w:r>
        <w:rPr>
          <w:rFonts w:hint="eastAsia" w:ascii="仿宋_GB2312" w:hAnsi="仿宋_GB2312" w:eastAsia="仿宋_GB2312" w:cs="仿宋_GB2312"/>
          <w:color w:val="auto"/>
          <w:sz w:val="32"/>
          <w:szCs w:val="32"/>
          <w:highlight w:val="none"/>
          <w:u w:val="none" w:color="auto"/>
          <w:lang w:eastAsia="zh-CN"/>
        </w:rPr>
        <w:t>与调整</w:t>
      </w:r>
      <w:r>
        <w:rPr>
          <w:rFonts w:hint="eastAsia" w:ascii="仿宋_GB2312" w:hAnsi="仿宋_GB2312" w:eastAsia="仿宋_GB2312" w:cs="仿宋_GB2312"/>
          <w:color w:val="auto"/>
          <w:sz w:val="32"/>
          <w:szCs w:val="32"/>
          <w:highlight w:val="none"/>
          <w:u w:val="none" w:color="auto"/>
        </w:rPr>
        <w:t>。</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ascii="仿宋_GB2312" w:hAnsi="仿宋_GB2312" w:eastAsia="仿宋_GB2312" w:cs="仿宋_GB2312"/>
          <w:color w:val="auto"/>
          <w:sz w:val="32"/>
          <w:szCs w:val="32"/>
          <w:highlight w:val="none"/>
          <w:u w:val="none" w:color="auto"/>
        </w:rPr>
      </w:pPr>
      <w:r>
        <w:rPr>
          <w:rFonts w:hint="eastAsia" w:ascii="仿宋_GB2312" w:hAnsi="仿宋_GB2312" w:eastAsia="仿宋_GB2312" w:cs="仿宋_GB2312"/>
          <w:color w:val="auto"/>
          <w:sz w:val="32"/>
          <w:szCs w:val="32"/>
          <w:highlight w:val="none"/>
          <w:u w:val="none" w:color="auto"/>
          <w:lang w:eastAsia="zh-CN"/>
        </w:rPr>
        <w:t>实施</w:t>
      </w:r>
      <w:r>
        <w:rPr>
          <w:rFonts w:hint="eastAsia" w:ascii="仿宋_GB2312" w:hAnsi="仿宋_GB2312" w:eastAsia="仿宋_GB2312" w:cs="仿宋_GB2312"/>
          <w:color w:val="auto"/>
          <w:sz w:val="32"/>
          <w:szCs w:val="32"/>
          <w:highlight w:val="none"/>
          <w:u w:val="none" w:color="auto"/>
        </w:rPr>
        <w:t>期限为20</w:t>
      </w:r>
      <w:r>
        <w:rPr>
          <w:rFonts w:hint="eastAsia" w:ascii="仿宋_GB2312" w:hAnsi="仿宋_GB2312" w:eastAsia="仿宋_GB2312" w:cs="仿宋_GB2312"/>
          <w:color w:val="auto"/>
          <w:sz w:val="32"/>
          <w:szCs w:val="32"/>
          <w:highlight w:val="none"/>
          <w:u w:val="none" w:color="auto"/>
          <w:lang w:val="en-US" w:eastAsia="zh-CN"/>
        </w:rPr>
        <w:t>20</w:t>
      </w:r>
      <w:r>
        <w:rPr>
          <w:rFonts w:hint="eastAsia" w:ascii="仿宋_GB2312" w:hAnsi="仿宋_GB2312" w:eastAsia="仿宋_GB2312" w:cs="仿宋_GB2312"/>
          <w:color w:val="auto"/>
          <w:sz w:val="32"/>
          <w:szCs w:val="32"/>
          <w:highlight w:val="none"/>
          <w:u w:val="none" w:color="auto"/>
        </w:rPr>
        <w:t>年1月1日至202</w:t>
      </w:r>
      <w:r>
        <w:rPr>
          <w:rFonts w:hint="eastAsia" w:ascii="仿宋_GB2312" w:hAnsi="仿宋_GB2312" w:eastAsia="仿宋_GB2312" w:cs="仿宋_GB2312"/>
          <w:color w:val="auto"/>
          <w:sz w:val="32"/>
          <w:szCs w:val="32"/>
          <w:highlight w:val="none"/>
          <w:u w:val="none" w:color="auto"/>
          <w:lang w:val="en-US" w:eastAsia="zh-CN"/>
        </w:rPr>
        <w:t>2</w:t>
      </w:r>
      <w:r>
        <w:rPr>
          <w:rFonts w:hint="eastAsia" w:ascii="仿宋_GB2312" w:hAnsi="仿宋_GB2312" w:eastAsia="仿宋_GB2312" w:cs="仿宋_GB2312"/>
          <w:color w:val="auto"/>
          <w:sz w:val="32"/>
          <w:szCs w:val="32"/>
          <w:highlight w:val="none"/>
          <w:u w:val="none" w:color="auto"/>
        </w:rPr>
        <w:t>年12月31日。</w:t>
      </w:r>
    </w:p>
    <w:p>
      <w:pPr>
        <w:keepNext w:val="0"/>
        <w:keepLines w:val="0"/>
        <w:pageBreakBefore w:val="0"/>
        <w:widowControl w:val="0"/>
        <w:shd w:val="clear" w:color="auto" w:fill="auto"/>
        <w:kinsoku/>
        <w:wordWrap/>
        <w:overflowPunct/>
        <w:topLinePunct w:val="0"/>
        <w:autoSpaceDE/>
        <w:autoSpaceDN/>
        <w:bidi w:val="0"/>
        <w:snapToGrid w:val="0"/>
        <w:spacing w:line="560" w:lineRule="exact"/>
        <w:ind w:firstLine="640" w:firstLineChars="200"/>
        <w:jc w:val="both"/>
        <w:textAlignment w:val="auto"/>
        <w:outlineLvl w:val="9"/>
        <w:rPr>
          <w:rFonts w:hint="eastAsia"/>
        </w:rPr>
      </w:pPr>
      <w:r>
        <w:rPr>
          <w:rFonts w:hint="eastAsia" w:ascii="楷体_GB2312" w:hAnsi="楷体" w:eastAsia="楷体_GB2312" w:cs="楷体"/>
          <w:color w:val="auto"/>
          <w:sz w:val="32"/>
          <w:szCs w:val="32"/>
          <w:highlight w:val="none"/>
          <w:u w:val="none" w:color="auto"/>
        </w:rPr>
        <w:t>（二十</w:t>
      </w:r>
      <w:r>
        <w:rPr>
          <w:rFonts w:hint="eastAsia" w:ascii="楷体_GB2312" w:hAnsi="楷体" w:eastAsia="楷体_GB2312" w:cs="楷体"/>
          <w:color w:val="auto"/>
          <w:sz w:val="32"/>
          <w:szCs w:val="32"/>
          <w:highlight w:val="none"/>
          <w:u w:val="none" w:color="auto"/>
          <w:lang w:val="en-US" w:eastAsia="zh-CN"/>
        </w:rPr>
        <w:t>三</w:t>
      </w:r>
      <w:r>
        <w:rPr>
          <w:rFonts w:hint="eastAsia" w:ascii="楷体_GB2312" w:hAnsi="楷体" w:eastAsia="楷体_GB2312" w:cs="楷体"/>
          <w:color w:val="auto"/>
          <w:sz w:val="32"/>
          <w:szCs w:val="32"/>
          <w:highlight w:val="none"/>
          <w:u w:val="none" w:color="auto"/>
        </w:rPr>
        <w:t>）</w:t>
      </w:r>
      <w:r>
        <w:rPr>
          <w:rFonts w:hint="eastAsia" w:ascii="仿宋_GB2312" w:hAnsi="仿宋_GB2312" w:eastAsia="仿宋_GB2312" w:cs="仿宋_GB2312"/>
          <w:color w:val="auto"/>
          <w:sz w:val="32"/>
          <w:szCs w:val="32"/>
          <w:highlight w:val="none"/>
          <w:u w:val="none" w:color="auto"/>
        </w:rPr>
        <w:t>本意见在实施过程中，如与</w:t>
      </w:r>
      <w:r>
        <w:rPr>
          <w:rFonts w:hint="eastAsia" w:ascii="仿宋_GB2312" w:hAnsi="仿宋_GB2312" w:eastAsia="仿宋_GB2312" w:cs="仿宋_GB2312"/>
          <w:color w:val="auto"/>
          <w:sz w:val="32"/>
          <w:szCs w:val="32"/>
          <w:highlight w:val="none"/>
          <w:u w:val="none" w:color="auto"/>
          <w:lang w:val="en-US" w:eastAsia="zh-CN"/>
        </w:rPr>
        <w:t>国家</w:t>
      </w:r>
      <w:r>
        <w:rPr>
          <w:rFonts w:hint="eastAsia" w:ascii="仿宋_GB2312" w:hAnsi="仿宋_GB2312" w:eastAsia="仿宋_GB2312" w:cs="仿宋_GB2312"/>
          <w:color w:val="auto"/>
          <w:sz w:val="32"/>
          <w:szCs w:val="32"/>
          <w:highlight w:val="none"/>
          <w:u w:val="none" w:color="auto"/>
        </w:rPr>
        <w:t>、市颁布的政策意见不一致，按照上级相关政策执行。结合</w:t>
      </w:r>
      <w:r>
        <w:rPr>
          <w:rFonts w:hint="eastAsia" w:ascii="仿宋_GB2312" w:hAnsi="仿宋_GB2312" w:eastAsia="仿宋_GB2312" w:cs="仿宋_GB2312"/>
          <w:color w:val="auto"/>
          <w:sz w:val="32"/>
          <w:szCs w:val="32"/>
          <w:highlight w:val="none"/>
          <w:u w:val="none" w:color="auto"/>
          <w:lang w:val="en-US" w:eastAsia="zh-CN"/>
        </w:rPr>
        <w:t>本</w:t>
      </w:r>
      <w:r>
        <w:rPr>
          <w:rFonts w:hint="eastAsia" w:ascii="仿宋_GB2312" w:hAnsi="仿宋_GB2312" w:eastAsia="仿宋_GB2312" w:cs="仿宋_GB2312"/>
          <w:color w:val="auto"/>
          <w:sz w:val="32"/>
          <w:szCs w:val="32"/>
          <w:highlight w:val="none"/>
          <w:u w:val="none" w:color="auto"/>
        </w:rPr>
        <w:t>区绿色农业发展需要，可适时进行评估和调整。</w:t>
      </w:r>
    </w:p>
    <w:p>
      <w:pPr>
        <w:keepNext w:val="0"/>
        <w:keepLines w:val="0"/>
        <w:pageBreakBefore w:val="0"/>
        <w:widowControl w:val="0"/>
        <w:kinsoku/>
        <w:wordWrap/>
        <w:overflowPunct/>
        <w:topLinePunct w:val="0"/>
        <w:autoSpaceDE/>
        <w:autoSpaceDN/>
        <w:bidi w:val="0"/>
        <w:spacing w:line="560" w:lineRule="exact"/>
        <w:ind w:firstLine="640" w:firstLineChars="200"/>
        <w:outlineLvl w:val="9"/>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spacing w:line="560" w:lineRule="exact"/>
        <w:ind w:firstLine="480" w:firstLineChars="200"/>
        <w:textAlignment w:val="center"/>
        <w:outlineLvl w:val="9"/>
        <w:rPr>
          <w:rFonts w:hint="eastAsia" w:ascii="仿宋_GB2312" w:hAnsi="宋体" w:eastAsia="仿宋_GB2312" w:cs="仿宋_GB2312"/>
          <w:color w:val="auto"/>
          <w:kern w:val="0"/>
          <w:sz w:val="24"/>
        </w:rPr>
      </w:pPr>
    </w:p>
    <w:p>
      <w:pPr>
        <w:keepNext w:val="0"/>
        <w:keepLines w:val="0"/>
        <w:pageBreakBefore w:val="0"/>
        <w:widowControl w:val="0"/>
        <w:kinsoku/>
        <w:wordWrap/>
        <w:overflowPunct/>
        <w:topLinePunct w:val="0"/>
        <w:autoSpaceDE/>
        <w:autoSpaceDN/>
        <w:bidi w:val="0"/>
        <w:spacing w:line="560" w:lineRule="exact"/>
        <w:ind w:firstLine="640" w:firstLineChars="200"/>
        <w:outlineLvl w:val="9"/>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spacing w:line="560" w:lineRule="exact"/>
        <w:ind w:firstLine="420" w:firstLineChars="200"/>
        <w:outlineLvl w:val="9"/>
        <w:rPr>
          <w:rFonts w:hint="eastAsia"/>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p>
      <w:pPr>
        <w:spacing w:line="560" w:lineRule="exact"/>
        <w:ind w:right="26"/>
        <w:rPr>
          <w:rFonts w:ascii="仿宋_GB2312" w:eastAsia="仿宋_GB2312"/>
          <w:sz w:val="32"/>
          <w:szCs w:val="32"/>
          <w:u w:val="thick"/>
        </w:rPr>
      </w:pPr>
    </w:p>
    <w:tbl>
      <w:tblPr>
        <w:tblStyle w:val="6"/>
        <w:tblW w:w="9060" w:type="dxa"/>
        <w:tblInd w:w="0" w:type="dxa"/>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060"/>
      </w:tblGrid>
      <w:tr>
        <w:tblPrEx>
          <w:tblBorders>
            <w:top w:val="single" w:color="auto" w:sz="12" w:space="0"/>
            <w:left w:val="none" w:color="auto" w:sz="0" w:space="0"/>
            <w:bottom w:val="single" w:color="auto" w:sz="12" w:space="0"/>
            <w:right w:val="none" w:color="auto" w:sz="0" w:space="0"/>
            <w:insideH w:val="none" w:color="auto" w:sz="0" w:space="0"/>
            <w:insideV w:val="none" w:color="auto" w:sz="0" w:space="0"/>
          </w:tblBorders>
          <w:tblLayout w:type="fixed"/>
        </w:tblPrEx>
        <w:tc>
          <w:tcPr>
            <w:tcW w:w="9060" w:type="dxa"/>
            <w:tcBorders>
              <w:tl2br w:val="nil"/>
              <w:tr2bl w:val="nil"/>
            </w:tcBorders>
          </w:tcPr>
          <w:p>
            <w:pPr>
              <w:spacing w:line="560" w:lineRule="exact"/>
              <w:ind w:right="28"/>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28"/>
                <w:szCs w:val="28"/>
              </w:rPr>
              <w:t>上海市崇明区农业</w:t>
            </w:r>
            <w:r>
              <w:rPr>
                <w:rFonts w:hint="eastAsia" w:ascii="仿宋_GB2312" w:eastAsia="仿宋_GB2312"/>
                <w:sz w:val="28"/>
                <w:szCs w:val="28"/>
                <w:lang w:eastAsia="zh-CN"/>
              </w:rPr>
              <w:t>农村</w:t>
            </w:r>
            <w:r>
              <w:rPr>
                <w:rFonts w:hint="eastAsia" w:ascii="仿宋_GB2312" w:eastAsia="仿宋_GB2312"/>
                <w:sz w:val="28"/>
                <w:szCs w:val="28"/>
              </w:rPr>
              <w:t xml:space="preserve">委员会办公室     </w:t>
            </w:r>
            <w:r>
              <w:rPr>
                <w:rFonts w:hint="eastAsia" w:ascii="仿宋_GB2312" w:eastAsia="仿宋_GB2312"/>
                <w:sz w:val="28"/>
                <w:szCs w:val="28"/>
                <w:lang w:val="en-US" w:eastAsia="zh-CN"/>
              </w:rPr>
              <w:t xml:space="preserve">   </w:t>
            </w:r>
            <w:r>
              <w:rPr>
                <w:rFonts w:hint="eastAsia" w:ascii="仿宋_GB2312" w:eastAsia="仿宋_GB2312"/>
                <w:sz w:val="28"/>
                <w:szCs w:val="28"/>
              </w:rPr>
              <w:t xml:space="preserve">  20</w:t>
            </w:r>
            <w:r>
              <w:rPr>
                <w:rFonts w:hint="eastAsia" w:ascii="仿宋_GB2312" w:eastAsia="仿宋_GB2312"/>
                <w:sz w:val="28"/>
                <w:szCs w:val="28"/>
                <w:lang w:val="en-US" w:eastAsia="zh-CN"/>
              </w:rPr>
              <w:t>20</w:t>
            </w:r>
            <w:r>
              <w:rPr>
                <w:rFonts w:hint="eastAsia" w:ascii="仿宋_GB2312" w:eastAsia="仿宋_GB2312"/>
                <w:sz w:val="28"/>
                <w:szCs w:val="28"/>
              </w:rPr>
              <w:t>年</w:t>
            </w:r>
            <w:r>
              <w:rPr>
                <w:rFonts w:hint="eastAsia" w:ascii="仿宋_GB2312" w:eastAsia="仿宋_GB2312"/>
                <w:sz w:val="28"/>
                <w:szCs w:val="28"/>
                <w:lang w:val="en-US" w:eastAsia="zh-CN"/>
              </w:rPr>
              <w:t>1</w:t>
            </w:r>
            <w:r>
              <w:rPr>
                <w:rFonts w:hint="eastAsia" w:ascii="仿宋_GB2312" w:eastAsia="仿宋_GB2312"/>
                <w:sz w:val="28"/>
                <w:szCs w:val="28"/>
              </w:rPr>
              <w:t>月</w:t>
            </w:r>
            <w:r>
              <w:rPr>
                <w:rFonts w:hint="eastAsia" w:ascii="仿宋_GB2312" w:eastAsia="仿宋_GB2312"/>
                <w:sz w:val="28"/>
                <w:szCs w:val="28"/>
                <w:lang w:val="en-US" w:eastAsia="zh-CN"/>
              </w:rPr>
              <w:t>1</w:t>
            </w:r>
            <w:r>
              <w:rPr>
                <w:rFonts w:hint="eastAsia" w:ascii="仿宋_GB2312" w:eastAsia="仿宋_GB2312"/>
                <w:sz w:val="28"/>
                <w:szCs w:val="28"/>
              </w:rPr>
              <w:t>日印发</w:t>
            </w:r>
          </w:p>
        </w:tc>
      </w:tr>
    </w:tbl>
    <w:p>
      <w:pPr>
        <w:keepNext w:val="0"/>
        <w:keepLines w:val="0"/>
        <w:pageBreakBefore w:val="0"/>
        <w:widowControl w:val="0"/>
        <w:kinsoku/>
        <w:wordWrap/>
        <w:overflowPunct/>
        <w:topLinePunct w:val="0"/>
        <w:autoSpaceDE/>
        <w:autoSpaceDN/>
        <w:bidi w:val="0"/>
        <w:adjustRightInd/>
        <w:snapToGrid/>
        <w:spacing w:line="20" w:lineRule="exact"/>
        <w:textAlignment w:val="auto"/>
        <w:outlineLvl w:val="9"/>
        <w:rPr>
          <w:rFonts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20" w:lineRule="exact"/>
        <w:textAlignment w:val="auto"/>
        <w:outlineLvl w:val="9"/>
        <w:rPr>
          <w:rFonts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20" w:lineRule="exact"/>
        <w:textAlignment w:val="auto"/>
        <w:outlineLvl w:val="9"/>
        <w:rPr>
          <w:rFonts w:ascii="仿宋_GB2312" w:eastAsia="仿宋_GB2312"/>
          <w:sz w:val="32"/>
          <w:szCs w:val="32"/>
        </w:rPr>
      </w:pPr>
    </w:p>
    <w:sectPr>
      <w:headerReference r:id="rId5" w:type="first"/>
      <w:footerReference r:id="rId8" w:type="first"/>
      <w:headerReference r:id="rId3" w:type="default"/>
      <w:footerReference r:id="rId6" w:type="default"/>
      <w:headerReference r:id="rId4" w:type="even"/>
      <w:footerReference r:id="rId7" w:type="even"/>
      <w:pgSz w:w="11906" w:h="16838"/>
      <w:pgMar w:top="2098" w:right="1474" w:bottom="1985" w:left="1588" w:header="851" w:footer="1247"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moder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roman"/>
    <w:pitch w:val="default"/>
    <w:sig w:usb0="80000287" w:usb1="280F3C52" w:usb2="00000016" w:usb3="00000000" w:csb0="0004001F" w:csb1="00000000"/>
  </w:font>
  <w:font w:name="楷体">
    <w:panose1 w:val="02010609060101010101"/>
    <w:charset w:val="86"/>
    <w:family w:val="decorative"/>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639633"/>
      <w:docPartObj>
        <w:docPartGallery w:val="autotext"/>
      </w:docPartObj>
    </w:sdtPr>
    <w:sdtContent>
      <w:p>
        <w:pPr>
          <w:pStyle w:val="3"/>
          <w:ind w:right="270"/>
          <w:jc w:val="right"/>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1 -</w:t>
        </w:r>
        <w:r>
          <w:rPr>
            <w:rFonts w:asciiTheme="minorEastAsia" w:hAnsiTheme="minorEastAsia" w:eastAsiaTheme="minorEastAsia"/>
            <w:sz w:val="28"/>
            <w:szCs w:val="28"/>
          </w:rPr>
          <w:fldChar w:fldCharType="end"/>
        </w:r>
      </w:p>
    </w:sdtContent>
  </w:sdt>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6639632"/>
      <w:docPartObj>
        <w:docPartGallery w:val="autotext"/>
      </w:docPartObj>
    </w:sdtPr>
    <w:sdtContent>
      <w:p>
        <w:pPr>
          <w:pStyle w:val="3"/>
          <w:ind w:firstLine="180" w:firstLineChars="100"/>
        </w:pPr>
        <w:r>
          <w:rPr>
            <w:rFonts w:asciiTheme="minorEastAsia" w:hAnsiTheme="minorEastAsia" w:eastAsiaTheme="minorEastAsia"/>
            <w:sz w:val="28"/>
            <w:szCs w:val="28"/>
          </w:rPr>
          <w:fldChar w:fldCharType="begin"/>
        </w:r>
        <w:r>
          <w:rPr>
            <w:rFonts w:asciiTheme="minorEastAsia" w:hAnsiTheme="minorEastAsia" w:eastAsiaTheme="minorEastAsia"/>
            <w:sz w:val="28"/>
            <w:szCs w:val="28"/>
          </w:rPr>
          <w:instrText xml:space="preserve"> PAGE   \* MERGEFORMAT </w:instrText>
        </w:r>
        <w:r>
          <w:rPr>
            <w:rFonts w:asciiTheme="minorEastAsia" w:hAnsiTheme="minorEastAsia" w:eastAsiaTheme="minorEastAsia"/>
            <w:sz w:val="28"/>
            <w:szCs w:val="28"/>
          </w:rPr>
          <w:fldChar w:fldCharType="separate"/>
        </w:r>
        <w:r>
          <w:rPr>
            <w:rFonts w:asciiTheme="minorEastAsia" w:hAnsiTheme="minorEastAsia" w:eastAsiaTheme="minorEastAsia"/>
            <w:sz w:val="28"/>
            <w:szCs w:val="28"/>
            <w:lang w:val="zh-CN"/>
          </w:rPr>
          <w:t>-</w:t>
        </w:r>
        <w:r>
          <w:rPr>
            <w:rFonts w:asciiTheme="minorEastAsia" w:hAnsiTheme="minorEastAsia" w:eastAsiaTheme="minorEastAsia"/>
            <w:sz w:val="28"/>
            <w:szCs w:val="28"/>
          </w:rPr>
          <w:t xml:space="preserve"> 2 -</w:t>
        </w:r>
        <w:r>
          <w:rPr>
            <w:rFonts w:asciiTheme="minorEastAsia" w:hAnsiTheme="minorEastAsia" w:eastAsiaTheme="minorEastAsia"/>
            <w:sz w:val="28"/>
            <w:szCs w:val="28"/>
          </w:rPr>
          <w:fldChar w:fldCharType="end"/>
        </w:r>
      </w:p>
    </w:sdtContent>
  </w:sdt>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mirrorMargins w:val="1"/>
  <w:bordersDoNotSurroundHeader w:val="1"/>
  <w:bordersDoNotSurroundFooter w:val="1"/>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045"/>
    <w:rsid w:val="00002667"/>
    <w:rsid w:val="00052038"/>
    <w:rsid w:val="000A0B81"/>
    <w:rsid w:val="001562E9"/>
    <w:rsid w:val="00180A71"/>
    <w:rsid w:val="001F39D8"/>
    <w:rsid w:val="0022312E"/>
    <w:rsid w:val="0026506F"/>
    <w:rsid w:val="00270770"/>
    <w:rsid w:val="00364AFB"/>
    <w:rsid w:val="00395936"/>
    <w:rsid w:val="003E4CF0"/>
    <w:rsid w:val="00424216"/>
    <w:rsid w:val="00466422"/>
    <w:rsid w:val="00512A54"/>
    <w:rsid w:val="00545AC5"/>
    <w:rsid w:val="005463E7"/>
    <w:rsid w:val="005E13CB"/>
    <w:rsid w:val="005E2E11"/>
    <w:rsid w:val="005E566F"/>
    <w:rsid w:val="006A4FFB"/>
    <w:rsid w:val="006B7064"/>
    <w:rsid w:val="007039C5"/>
    <w:rsid w:val="00717904"/>
    <w:rsid w:val="00733FE4"/>
    <w:rsid w:val="00775EF0"/>
    <w:rsid w:val="00785641"/>
    <w:rsid w:val="007F599C"/>
    <w:rsid w:val="008B0CE9"/>
    <w:rsid w:val="008C5D06"/>
    <w:rsid w:val="009133B7"/>
    <w:rsid w:val="009421D7"/>
    <w:rsid w:val="00986EBD"/>
    <w:rsid w:val="009B0560"/>
    <w:rsid w:val="00B80DE5"/>
    <w:rsid w:val="00BA4B06"/>
    <w:rsid w:val="00BA5C14"/>
    <w:rsid w:val="00BD591D"/>
    <w:rsid w:val="00C11B56"/>
    <w:rsid w:val="00C219FD"/>
    <w:rsid w:val="00CB6736"/>
    <w:rsid w:val="00D57723"/>
    <w:rsid w:val="00D93834"/>
    <w:rsid w:val="00E13CAF"/>
    <w:rsid w:val="00E30AC2"/>
    <w:rsid w:val="00E748FD"/>
    <w:rsid w:val="00E76BAF"/>
    <w:rsid w:val="00ED5A2E"/>
    <w:rsid w:val="00FB10D2"/>
    <w:rsid w:val="00FC5045"/>
    <w:rsid w:val="05244A1F"/>
    <w:rsid w:val="27654CCE"/>
    <w:rsid w:val="33A60288"/>
    <w:rsid w:val="4BAB6048"/>
    <w:rsid w:val="4DE867E7"/>
    <w:rsid w:val="53274604"/>
    <w:rsid w:val="559C7351"/>
    <w:rsid w:val="6CB13C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qFormat="1" w:uiPriority="99"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before="0" w:line="240" w:lineRule="auto"/>
      <w:ind w:firstLine="0" w:firstLineChars="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Plain Text"/>
    <w:basedOn w:val="1"/>
    <w:unhideWhenUsed/>
    <w:qFormat/>
    <w:uiPriority w:val="99"/>
    <w:rPr>
      <w:rFonts w:ascii="宋体" w:hAnsi="Courier New"/>
      <w:szCs w:val="22"/>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tabs>
        <w:tab w:val="center" w:pos="4153"/>
        <w:tab w:val="right" w:pos="8306"/>
      </w:tabs>
      <w:snapToGrid w:val="0"/>
      <w:jc w:val="center"/>
    </w:pPr>
    <w:rPr>
      <w:sz w:val="18"/>
      <w:szCs w:val="18"/>
    </w:rPr>
  </w:style>
  <w:style w:type="table" w:styleId="7">
    <w:name w:val="Table Grid"/>
    <w:basedOn w:val="6"/>
    <w:qFormat/>
    <w:uiPriority w:val="59"/>
    <w:pPr>
      <w:spacing w:before="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customStyle="1" w:styleId="8">
    <w:name w:val="页眉 Char"/>
    <w:basedOn w:val="5"/>
    <w:link w:val="4"/>
    <w:qFormat/>
    <w:uiPriority w:val="99"/>
    <w:rPr>
      <w:kern w:val="2"/>
      <w:sz w:val="18"/>
      <w:szCs w:val="18"/>
    </w:rPr>
  </w:style>
  <w:style w:type="character" w:customStyle="1" w:styleId="9">
    <w:name w:val="页脚 Char"/>
    <w:basedOn w:val="5"/>
    <w:link w:val="3"/>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C.Y.H(201411)</Company>
  <Pages>2</Pages>
  <Words>43</Words>
  <Characters>246</Characters>
  <Lines>2</Lines>
  <Paragraphs>1</Paragraphs>
  <TotalTime>42</TotalTime>
  <ScaleCrop>false</ScaleCrop>
  <LinksUpToDate>false</LinksUpToDate>
  <CharactersWithSpaces>288</CharactersWithSpaces>
  <Application>WPS Office_10.8.2.6666_F1E327BC-269C-435d-A152-05C5408002CA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2017-10-23T02:12:00Z</dcterms:created>
  <dc:creator>cm</dc:creator>
  <cp:lastModifiedBy>Administrator</cp:lastModifiedBy>
  <cp:lastPrinted>2020-01-15T01:53:03Z</cp:lastPrinted>
  <dcterms:modified xsi:type="dcterms:W3CDTF">2020-01-15T02:04:54Z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2052-10.8.2.6666</vt:lpwstr>
  </property>
</Properties>
</file>