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C12A5">
      <w:pPr>
        <w:autoSpaceDE w:val="0"/>
        <w:spacing w:line="560" w:lineRule="exact"/>
        <w:jc w:val="center"/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康简标题宋" w:hAnsi="华康简标题宋" w:eastAsia="华康简标题宋" w:cs="华康简标题宋"/>
          <w:sz w:val="36"/>
          <w:szCs w:val="36"/>
        </w:rPr>
        <w:t>关于新海镇202</w:t>
      </w:r>
      <w:r>
        <w:rPr>
          <w:rFonts w:hint="eastAsia" w:ascii="华康简标题宋" w:hAnsi="华康简标题宋" w:eastAsia="华康简标题宋" w:cs="华康简标题宋"/>
          <w:sz w:val="36"/>
          <w:szCs w:val="36"/>
          <w:lang w:val="en-US" w:eastAsia="zh-CN"/>
        </w:rPr>
        <w:t>4</w:t>
      </w:r>
      <w:r>
        <w:rPr>
          <w:rFonts w:hint="eastAsia" w:ascii="华康简标题宋" w:hAnsi="华康简标题宋" w:eastAsia="华康简标题宋" w:cs="华康简标题宋"/>
          <w:sz w:val="36"/>
          <w:szCs w:val="36"/>
        </w:rPr>
        <w:t>年财政预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算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执行情况和</w:t>
      </w:r>
    </w:p>
    <w:p w14:paraId="03B1C759">
      <w:pPr>
        <w:autoSpaceDE w:val="0"/>
        <w:spacing w:line="560" w:lineRule="exact"/>
        <w:jc w:val="center"/>
        <w:rPr>
          <w:rFonts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年财政预算（草案）的报告</w:t>
      </w:r>
    </w:p>
    <w:p w14:paraId="6AFAC1BC">
      <w:pPr>
        <w:spacing w:line="560" w:lineRule="exact"/>
        <w:jc w:val="center"/>
        <w:rPr>
          <w:rFonts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  <w:t>——202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年1月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日上海市崇明区新海镇第二届人民代表大会第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  <w:t>次会议</w:t>
      </w:r>
    </w:p>
    <w:p w14:paraId="709EB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新海镇副镇长</w:t>
      </w: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陈海贝</w:t>
      </w:r>
    </w:p>
    <w:p w14:paraId="65450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FFC3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各位代表、同志们：</w:t>
      </w:r>
    </w:p>
    <w:p w14:paraId="6F6B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受新海镇人民政府委托，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下面由我向大会报告新海镇202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年度财政预算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执行情况和202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年度财政预算（草案），请予审议，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并提出意见。</w:t>
      </w:r>
    </w:p>
    <w:p w14:paraId="4E53A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一、202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</w:t>
      </w:r>
    </w:p>
    <w:p w14:paraId="1F810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全镇财政工作在党委的正确领导下，在人大和社会各界的监督支持下，紧紧围绕年初人代会确定的工作目标和任务，积极适应经济发展新常态，牢牢把握财政工作新要求，突出保障正常运转和民生支出，不断规范管理和效能服务，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执行情况总体良好。</w:t>
      </w:r>
    </w:p>
    <w:p w14:paraId="42B82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（一）202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年财政总预算</w:t>
      </w:r>
    </w:p>
    <w:p w14:paraId="12C40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年，年初财政预算36412.73万元，其中镇一般公共预算22000万元，区财政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转移支付1303.96万元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镇预算稳定调节基金1977万元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上解支出540.07万元，光明米业经济园区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预算10591.70万元。在实际执行中，区财政根据市财政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转移支付到位情况陆续下达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转移支付指标，乡镇相应增加预算。</w:t>
      </w:r>
    </w:p>
    <w:p w14:paraId="7EA35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年9月，根据区财政要求和本镇招商财力实际情况，本镇核减一般公共预算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2600.32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核减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镇一般公共预算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1500万元，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核减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 w:bidi="ar-SA"/>
        </w:rPr>
        <w:t>专项转移支付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100.32万元,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核减光明米业经济园区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00万元。</w:t>
      </w:r>
    </w:p>
    <w:p w14:paraId="0706B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（二）202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年财政预算收入执行情况</w:t>
      </w:r>
    </w:p>
    <w:p w14:paraId="48F9C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年预算收入3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3463.80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万元，明细如下：</w:t>
      </w:r>
    </w:p>
    <w:p w14:paraId="4B89C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1.上级补助收入91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65.60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万元，其中，三农补助6万元，社会保障补助350万元，社会管理补助847万元，生态补偿补助1100万元，营改增补助848万元，农场属地建镇财力补助4537万元，区级贡献存量基数补助670万元，生态岗位补助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807.60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348E2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2.区财政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1395.10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一般预算专项转移支付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1312.04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政府性基金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83.06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7E6C1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3.镇级财力1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3311.40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20A46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9591.70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万元，其中结算资金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00万元，企业扶持资金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2091.70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5BF58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（三）202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年财政预算支出执行情况</w:t>
      </w:r>
    </w:p>
    <w:p w14:paraId="171AC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年，本镇预算支出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33463.80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万元，实际执行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31244.40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万元,预算结余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2219.40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万元，其中镇人员经费结余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116.72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万元，公用经费结余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175.90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万元，部门专项结余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370.33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特色亮点工作结余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28.29万元，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实事工程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626.95万元，招商专项经费结余0.10万元，2023年度以前（含2023年度）专项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50.47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162.34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财力结余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688.30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万元。依照区财政指导意见，对预算结余进行如下分配：未执行的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转移支付结余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162.34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万元，调整到202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年按原用途继续使用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余下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2057.06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万元作为预算稳定调节基金，在202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用于企业扶持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，其中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新海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1368.76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688.30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万元。具体明细如下：</w:t>
      </w:r>
    </w:p>
    <w:p w14:paraId="6B1E3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1.一般公共服务支出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2461.71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万元,年初预算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2663.17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万元。其中，机关人员、公用支出（不含社保和公积金，下同）1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378.42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万元，财政所人员、公用支出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141.10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万元，党群服务中心人员、公用支出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578.58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万元，党政办保洁、门卫特保、食堂劳务外包、办公设备维护等专项经费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104.54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万元，人大办人大专项经费1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0.83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万元，人大代表经费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2.68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万元，党群办党建专项经费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万元，文明城区创建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29.52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万元，居民区党组织服务群众专项经费2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0.62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万元，党员经常性教育经费3.7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万元、区党代表工作经费0.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5万元，纪检工作经费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1.51万元，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武装部专项经费6.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团委妇联工作经费2.15万元，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工会专项经费9.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万元，经济办内审专项经费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万元，经济普查专项经费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万元，事业办爱心暑托班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万元，平安办维稳专项经费57.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万元，司法专项经费1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乡村振兴服务中心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.50万元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，预算管理一体化专项经费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22.50万元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1F82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2.教育支出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7.61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万元，年初预算8万元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主要是儿童节、教师节及暑期活动支出。</w:t>
      </w:r>
    </w:p>
    <w:p w14:paraId="5BE9E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3.科学技术支出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6.69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万元，年初预算34.00万元，均为科普宣传活动支出，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执行率低主要是高新技术企业培育专项经费未发生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A371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4.文化旅游体育与传媒支出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101.95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116.90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万元，均为文化活动中心专项经费支出。</w:t>
      </w:r>
    </w:p>
    <w:p w14:paraId="490C8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5.社会保障和就业支出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3652.58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万元。其中，受理服务中心人员、公用支出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437.83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万元，机关事业单位基本养老保险费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390.04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万元、职业年金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196.81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万元、退休人员生活补贴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58.42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党群办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离休干部社区高龄养老经费0.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4万元，社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办双拥专项经费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8.71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万元，帮困专项经费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31.61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万元，移风易俗奖励专项经费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10.90万元，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综合为老服务专项经费91万元，家门口养老服务站建设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0.94万元，老年人福利保障和养老服务事业发展经费5.50万元，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养老院运行经费3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万元，阳光基地专项经费1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83.86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三阳机构日常运行专项经费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民生保障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330.48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居委会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50万元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退役军人服务保障体系建设专项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优抚对象专项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殡葬服务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0.39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万元，受理服务中心日常运行专项经费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23.75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万元，生态组织专项经费1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733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稳定就业岗位补贴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58.15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3DE9A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6.卫生健康支出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337.54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360.30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万元。其中，机关事业单位人员医疗保险经费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,197.15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万元，事业办爱卫专项经费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16.01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万元，病媒生物防治工作及雨水井服务项目38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万元，国家卫生镇创建专项经费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万元，计生专项经费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1.56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乡村振兴服务中心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动物防疫专项经费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4.37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万元，医疗救助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73.70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23D82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7.节能环保支出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584.68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675.16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万元。其中，市容所人员、公用支出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294.35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规环办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生活污水日常维护专项经费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46.55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，城运中心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菜场第三方服务费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242.10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，农业办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秸秆综合利用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1.68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1022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8.城乡社区事务支出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7020.77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8492.47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万元。其中，综合执法队人员、公用支出1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36.01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万元，城建中心人员、公用支出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197.19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万元，城运中心人员、公用支出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386.67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党群办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文明居住管理专项经费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194.80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创建工作专项经费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1.15万元，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社区事务管理站运行经费1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万元，社工运行经费1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9万元，经济办安全生产与消防专项经费14.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万元，新海资产公司运行经费100万元、长征产业办专项经费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万元，规环办15分钟社区生活圈专项经费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公灯公厕专项经费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53.06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万元，防汛抗台专项经费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，雨污混接排查服务经费26.06万元，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生源物业运行经费6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94.27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万元，绿化公司运行经费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729.40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平安办老房汇专项经费2.25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办老年认知障碍友好社区建设专项经费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农业办实施农药源头管控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一枝黄花清理专项经费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万元，综合执法队装备购置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4.52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万元，新办公地示范化中队视觉识别系统建设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7.59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万元，城运中心大联动专项经费1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45.23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万元，农村公路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养护经费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万元，拆违专项经费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2.87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万元，生活垃圾减量化专项经费1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80.42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万元，特色亮点工作专项经费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11.72万元，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老旧公房修缮工程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114.38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万元，老虎窗维修工程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37.31万元，社区卫生服务中心临时医疗点建设工程124.54万元，经济开发区注册企业办公用房扩建工程90万元，招商实体企业办公地修缮工程56万元，办公地版面宣传经费20万元，银杏花园口袋公园项目一期工程244万元，二期工程309万元，跃进地区售后公房自来水网改造项目106.28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其他小型工程项目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329.53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F0D1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9.农林水支出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1513.88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1297.21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，主要是增加了转移支付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。其中，农技中心人员、公用支出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105.30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万元，水务所人员、公用支出1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23.83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乡村振兴服务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万元，规环办下水管网维护专项经费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.90万元，生活污水日常维护专项经费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173.85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万元，镇级河道市场化养护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359.93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万元，河长制专项经费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，长征美丽街区养护经费119.50万元，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农业办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廊道养护和租赁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26.04万元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，林业养护经费100.24万元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土地流转经费70.83万元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农村人居环境长效管护经费7.83万元，农产品质量安全经费0.2万元，绿色农业专项经费0.25万元，农业生产救灾救猪专项经费132.83万元，生态河道及断头河整治工程129.52万元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162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10.交通运输支出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101.74万元，年初预算69.51万元，均为农村公路养护专项经费。</w:t>
      </w:r>
    </w:p>
    <w:p w14:paraId="4C3AA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资源勘探工业信息等支出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14866.30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17842.72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其中，镇企业扶持资金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5402.90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万元，镇经济小区工作经费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560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万元，光明米业经济园区企业扶持资金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1903.40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03BB1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.商业服务业等支出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万元，年初无预算，均为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早餐工程项目专项经费。</w:t>
      </w:r>
    </w:p>
    <w:p w14:paraId="098B0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.住房公积金支出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553.72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577.22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万元，为机关事业单位公积金支出和机关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、综合执法队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人员住房补贴。</w:t>
      </w:r>
    </w:p>
    <w:p w14:paraId="3BB62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.粮油物资储备支出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0.47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预算，为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秋粮收购专项经费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75B0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彩票公益金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中列支，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办认知障碍友好社区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2E7A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年本镇预算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执行情况总体良好，财政项目均按要求予以绩效申报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，四个专家评审项目得分均在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80分以上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0A05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CESI黑体-GB2312" w:hAnsi="CESI黑体-GB2312" w:eastAsia="CESI黑体-GB2312" w:cs="CESI黑体-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黑体-GB2312" w:hAnsi="CESI黑体-GB2312" w:eastAsia="CESI黑体-GB2312" w:cs="CESI黑体-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二、202</w:t>
      </w:r>
      <w:r>
        <w:rPr>
          <w:rFonts w:hint="eastAsia" w:ascii="CESI黑体-GB2312" w:hAnsi="CESI黑体-GB2312" w:eastAsia="CESI黑体-GB2312" w:cs="CESI黑体-GB2312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CESI黑体-GB2312" w:hAnsi="CESI黑体-GB2312" w:eastAsia="CESI黑体-GB2312" w:cs="CESI黑体-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</w:t>
      </w:r>
    </w:p>
    <w:p w14:paraId="5F67C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崇明区新一轮财政管理体制实施意见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，以及本镇经济发展、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的实际情况，经综合研判，预计202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年本镇财政将更加紧张。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镇党委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决定，202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继续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严格落实过“紧日子”要求，优先“保基本民生、保工资、保运转”，其他经费按实际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4B1E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（一）202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年财政预算收入</w:t>
      </w:r>
    </w:p>
    <w:p w14:paraId="21DB3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年，本镇安排财政预算收入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28938.70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万元，具体明细如下：</w:t>
      </w:r>
    </w:p>
    <w:p w14:paraId="7CC89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上级补助收入9158万元，其中，三农补助6万元，社会保障补助350万元，社会管理补助847万元，生态补偿补助1100万元，营改增补助848万元，农场属地建镇财力补助4537万元，区级贡献存量基数补助670万元，生态岗位补助800万元。</w:t>
      </w:r>
    </w:p>
    <w:p w14:paraId="122EE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2.区财政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381.64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年结转的转移支付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162.34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万元，年初区财政提前下达的转移支付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219.30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4C584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3.镇级财力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11210.76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6810B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8188.30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43519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（二）202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年财政预算支出</w:t>
      </w:r>
    </w:p>
    <w:p w14:paraId="3F1B6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年，本镇安排财政支出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28938.70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万元，按资金渠道分类，明细如下：</w:t>
      </w:r>
    </w:p>
    <w:p w14:paraId="7AAB6E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镇一般公共预算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000万元，其中机关事业单位人员经费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5534.13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万元，公用经费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385.21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万元，部门专项8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407.85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万元，实事工程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企业扶持资金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2422.81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招商工作经费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78FC97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镇预算稳定调节基金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1368.76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（用于企业扶持）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DB91F9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381.64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339233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8188.30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6E37B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在财务报表中，按《202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年政府收支分类科目》分类，明细如下：</w:t>
      </w:r>
    </w:p>
    <w:p w14:paraId="699AE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1.一般公共服务支出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2999.60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万元，其中，机关人员、公用支出（不含社保和公积金，下同）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1825.61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万元，党群服务中心人员、公用支出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671.69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万元，党政办保洁、门卫特保、食堂劳务外包、办公设备维护等专项经费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124.66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万元，人大办人大专项经费16.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0万元，党群办党建专项经费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万元，居民区党组织服务群众专项经费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41.10万元，创建全国文明城区专项经费33万元，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小学生爱心暑托班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0.80万元，区党代表工作经费0.80万元，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纪检工作经费2万元，团委和妇联工作经费2.5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万元，武装部专项经费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万元，工会专项经费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万元，经济办内审专项经费25万元，乡镇综合保险专项经费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14.60万元，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品牌培育和电商村建设专项经费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早餐工程项目建设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2.40万元，人口抽样普查专项经费3万元，规环办防汛抗台专项经费10万元，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平安办维稳专项经费6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万元，老房汇专项经费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司法专项经费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社区党群服务中心文化活动中心大楼保洁和日常保养维护专项经费48.44万元，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乡村振兴服务中心绩效专项经费24.50万元，预算一体化专项经费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058D3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2.教育支出8万元，均为教育专项经费。</w:t>
      </w:r>
    </w:p>
    <w:p w14:paraId="7337A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3.科学技术支出3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，其中科普专项经费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万元，高新技术企业培育专项经费30万元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E537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4.文化体育与传媒支出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125.08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万元，均为社区党群服务中心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专项经费。</w:t>
      </w:r>
    </w:p>
    <w:p w14:paraId="794A1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5.社会保障和就业支出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3494.55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万元，其中，受理服务中心人员、公用支出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410.34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万元，机关事业单位基本养老保险费4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41.7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3万元，职业年金2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20.89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万元、退休人员生活补贴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80.53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万元，离休干部社区高龄养老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0.08万元，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办双拥专项经费1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万元，帮困专项经费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39.11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万元，居委会专项经费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6.50万元，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社区助残专项经费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39.92万元，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综合为老服务专项经费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万元，养老院运行经费3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万元，移风易俗奖励专项经费12万元，民生保障配套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328.20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万元、三阳机构日常运行专项经费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优抚对象专项经费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1.08万元，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家门口养老服务站建设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1万元，认知障碍友好社区试点专项经费7.50万元，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殡葬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服务专项经费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0.11万元，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受理服务中心日常运行专项经费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21.10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万元，生态组织专项经费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1663.46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万元，促进就业专项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7CE41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6.卫生健康支出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331.40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万元，其中，机关事业单位人员医疗保险经费22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5.57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万元，事业办爱卫专项经费1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.50万元，病媒生物防治工作及雨水井服务项目40万元，国家卫生镇创建专项经费1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0.60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万元，献血专项经费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计生专项经费3万元，乡村振兴服务中心农业综合运行专项经费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万元，受理中心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城乡医疗救助专项经费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18.57万元，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贫困人员城居保参保补贴0.6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0A849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.节能环保支出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246.01万元，均为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菜场购买服务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专项经费。</w:t>
      </w:r>
    </w:p>
    <w:p w14:paraId="72922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城乡社区事务支出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6027.45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万元，其中，综合执法队人员、公用支出1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75.83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万元，城运中心人员、公用支出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796.06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万元，党群办社区事务管理站运行经费1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571.66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万元，社工运行经费11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万元，文明居住管理专项经费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227万元，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经济办安全生产与消防专项经费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万元，新海资产公司运行经费1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16.50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万元，规环办物业公司运行经费6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13.80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万元，绿化公司运行经费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619.71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万元，农贸市场运行经费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26.01万元，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公灯公厕专项经费55万元，15分钟社区生活圈专项经费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办社区治理专项经费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老年认知障碍友好社区建设专项经费7.5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万元，综合执法队日常运行专项经费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万元，城运中心大联动专项经费1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万元，拆违专项经费20万元，生活垃圾减量化专项经费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187.38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万元，社区卫生服务中心标准化建设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万元，应急工程预备项目100万元。</w:t>
      </w:r>
    </w:p>
    <w:p w14:paraId="1D6D9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.农林水支出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978.31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万元，其中乡村振兴服务中心人员、公用支出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402.07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，规环办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下水管网维护专项经费60万元，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生活污水日常维护专项经费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51万元，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桥梁养护专项经费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农业办镇级河道市场化养护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万元，长征美丽街区养护专项经费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120万元，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林业养护专项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82.17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万元，土地流转专项经费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70.82万元，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森林、湿地建设专项经费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林长制专项经费3万元，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河长制专项经费2.50万元，农村人居环境长效管护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万元，一枝黄花清理专项经费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8万元，禁渔专项经费2万元，贷款贴息和实施农药源头管控专项经费1.65万元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4A086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.交通运输支出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40万元，均为农村公路养护专项经费。</w:t>
      </w:r>
    </w:p>
    <w:p w14:paraId="3600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支持中小企业发展和管理支出1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3979.87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万元,其中，镇企业扶持资金和招商工作经费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5791.57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万元，光明米业企业扶持资金和招商工作经费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8188.30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1B605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.住房公积金支出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669.03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万元，均为机关事业单位的公积金支出。</w:t>
      </w:r>
    </w:p>
    <w:p w14:paraId="42D1D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三、其他报告事项</w:t>
      </w:r>
    </w:p>
    <w:p w14:paraId="64A91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（一）上解支出</w:t>
      </w:r>
    </w:p>
    <w:p w14:paraId="4106D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区财政核定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上解支出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775.28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上解支出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在财力结算时予以扣除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E56E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（二）土地减量化资金安排情况</w:t>
      </w:r>
    </w:p>
    <w:p w14:paraId="4EA5F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受区财政核定我镇2025年预算总额的限制，我镇准备在土地减量化资金列支1023.70万元，用于镇实事工程支出，具体明细如下：</w:t>
      </w:r>
    </w:p>
    <w:p w14:paraId="16749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1、跃进新村、一村自来水街坊管改造工程295万元。</w:t>
      </w:r>
    </w:p>
    <w:p w14:paraId="39B56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老虎窗维修工程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30万元。</w:t>
      </w:r>
    </w:p>
    <w:p w14:paraId="31E93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3、雨污水混接改造200万元。</w:t>
      </w:r>
    </w:p>
    <w:p w14:paraId="689FF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4、银杏花园口袋公园工程（一期）114万元。</w:t>
      </w:r>
    </w:p>
    <w:p w14:paraId="04DE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5、银杏花园口袋公园（二期）144万元。</w:t>
      </w:r>
    </w:p>
    <w:p w14:paraId="0AC50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6、老旧公房修缮项目160万元。</w:t>
      </w:r>
    </w:p>
    <w:p w14:paraId="180F0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7、电梯加装工程8万元。</w:t>
      </w:r>
    </w:p>
    <w:p w14:paraId="0A6DA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8、消防实事项目建设工程15万元。</w:t>
      </w:r>
    </w:p>
    <w:p w14:paraId="651D1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9、仓房港路、跃征路等道路整治工程48.70万元</w:t>
      </w:r>
    </w:p>
    <w:p w14:paraId="10C53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10、长征银杏苑小区内新建非机动车车棚9万元。</w:t>
      </w:r>
    </w:p>
    <w:p w14:paraId="29CEF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各位代表，今年是崇明新一轮财政管理体制实施的第四年，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工作任务艰巨、责任重大。我们将在镇党委的坚强领导下，积极接受镇人大的依法监督，认真听取社会各界的意见和建议，进一步坚定信心、凝心聚力、勇于担当、务实进取，进一步加强对转移支付和存量资金的监管，确保各项财政收支工作的圆满完成，为建设生态美丽幸福、宜居宜业宜游、人与自然和谐共生新新海作出新的更大的贡献！</w:t>
      </w:r>
    </w:p>
    <w:sectPr>
      <w:footerReference r:id="rId3" w:type="default"/>
      <w:pgSz w:w="11850" w:h="16783"/>
      <w:pgMar w:top="2098" w:right="1474" w:bottom="1984" w:left="1587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楷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0000000000000000000"/>
    <w:charset w:val="86"/>
    <w:family w:val="auto"/>
    <w:pitch w:val="default"/>
    <w:sig w:usb0="00000000" w:usb1="00000000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3BA0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AFDF2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FDF2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A312A7"/>
    <w:multiLevelType w:val="singleLevel"/>
    <w:tmpl w:val="EEA312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YmExOWNjY2I4NDE1YjI3MTVjZGI5OGJhYTkzYzYifQ=="/>
  </w:docVars>
  <w:rsids>
    <w:rsidRoot w:val="00E108F4"/>
    <w:rsid w:val="000440E2"/>
    <w:rsid w:val="00070D4F"/>
    <w:rsid w:val="000934F9"/>
    <w:rsid w:val="00095BBF"/>
    <w:rsid w:val="000A3A20"/>
    <w:rsid w:val="000C74A5"/>
    <w:rsid w:val="0010274F"/>
    <w:rsid w:val="00102BD0"/>
    <w:rsid w:val="00142E36"/>
    <w:rsid w:val="00154D40"/>
    <w:rsid w:val="00194386"/>
    <w:rsid w:val="001B754F"/>
    <w:rsid w:val="001E1E54"/>
    <w:rsid w:val="00212277"/>
    <w:rsid w:val="00231321"/>
    <w:rsid w:val="00235DEE"/>
    <w:rsid w:val="00250A87"/>
    <w:rsid w:val="002760E1"/>
    <w:rsid w:val="002B137D"/>
    <w:rsid w:val="002D0B96"/>
    <w:rsid w:val="002D2C83"/>
    <w:rsid w:val="00310D85"/>
    <w:rsid w:val="0033494B"/>
    <w:rsid w:val="00384925"/>
    <w:rsid w:val="003A5F3E"/>
    <w:rsid w:val="00423B4C"/>
    <w:rsid w:val="00435E99"/>
    <w:rsid w:val="0044014E"/>
    <w:rsid w:val="004538DA"/>
    <w:rsid w:val="00484933"/>
    <w:rsid w:val="004C181C"/>
    <w:rsid w:val="004C496C"/>
    <w:rsid w:val="004E2285"/>
    <w:rsid w:val="004E22E5"/>
    <w:rsid w:val="004F09C2"/>
    <w:rsid w:val="004F5CB1"/>
    <w:rsid w:val="00511D6A"/>
    <w:rsid w:val="005262EF"/>
    <w:rsid w:val="00537FA2"/>
    <w:rsid w:val="00555D06"/>
    <w:rsid w:val="00590C1C"/>
    <w:rsid w:val="005A481E"/>
    <w:rsid w:val="005C4D33"/>
    <w:rsid w:val="00623ADD"/>
    <w:rsid w:val="00643409"/>
    <w:rsid w:val="00657018"/>
    <w:rsid w:val="00673C9F"/>
    <w:rsid w:val="00677C53"/>
    <w:rsid w:val="006A7A80"/>
    <w:rsid w:val="006E08C7"/>
    <w:rsid w:val="00703583"/>
    <w:rsid w:val="007162E1"/>
    <w:rsid w:val="007210F5"/>
    <w:rsid w:val="007710B2"/>
    <w:rsid w:val="00791073"/>
    <w:rsid w:val="007978B1"/>
    <w:rsid w:val="007A34ED"/>
    <w:rsid w:val="007B2FF2"/>
    <w:rsid w:val="007C0F47"/>
    <w:rsid w:val="007E0907"/>
    <w:rsid w:val="007F47C8"/>
    <w:rsid w:val="00810EE8"/>
    <w:rsid w:val="00833C85"/>
    <w:rsid w:val="00840703"/>
    <w:rsid w:val="0084669C"/>
    <w:rsid w:val="008934D4"/>
    <w:rsid w:val="008A5CF1"/>
    <w:rsid w:val="008D2CD8"/>
    <w:rsid w:val="008D6EC0"/>
    <w:rsid w:val="009233A5"/>
    <w:rsid w:val="00977936"/>
    <w:rsid w:val="0098124D"/>
    <w:rsid w:val="0099712F"/>
    <w:rsid w:val="009A657A"/>
    <w:rsid w:val="00A7229F"/>
    <w:rsid w:val="00A73900"/>
    <w:rsid w:val="00A757D9"/>
    <w:rsid w:val="00A77383"/>
    <w:rsid w:val="00A90FE7"/>
    <w:rsid w:val="00AA56FB"/>
    <w:rsid w:val="00AE2DCC"/>
    <w:rsid w:val="00AF3194"/>
    <w:rsid w:val="00AF6C3A"/>
    <w:rsid w:val="00B078CA"/>
    <w:rsid w:val="00B1188D"/>
    <w:rsid w:val="00B8034E"/>
    <w:rsid w:val="00B820DD"/>
    <w:rsid w:val="00C21E37"/>
    <w:rsid w:val="00C2602E"/>
    <w:rsid w:val="00C33DD8"/>
    <w:rsid w:val="00C53FC8"/>
    <w:rsid w:val="00C72B5F"/>
    <w:rsid w:val="00CA1649"/>
    <w:rsid w:val="00CB7049"/>
    <w:rsid w:val="00CB78F2"/>
    <w:rsid w:val="00CD4094"/>
    <w:rsid w:val="00CF7AEC"/>
    <w:rsid w:val="00DB2D6C"/>
    <w:rsid w:val="00DD7E59"/>
    <w:rsid w:val="00DE0121"/>
    <w:rsid w:val="00DF06B9"/>
    <w:rsid w:val="00E108F4"/>
    <w:rsid w:val="00E27988"/>
    <w:rsid w:val="00E31991"/>
    <w:rsid w:val="00E454F4"/>
    <w:rsid w:val="00E91C21"/>
    <w:rsid w:val="00E95D03"/>
    <w:rsid w:val="00ED327A"/>
    <w:rsid w:val="00EF2E12"/>
    <w:rsid w:val="00F0279C"/>
    <w:rsid w:val="00F16DE7"/>
    <w:rsid w:val="00F259C2"/>
    <w:rsid w:val="00FC388C"/>
    <w:rsid w:val="01E4674A"/>
    <w:rsid w:val="01F33A11"/>
    <w:rsid w:val="02315CA0"/>
    <w:rsid w:val="0278273E"/>
    <w:rsid w:val="02BE096D"/>
    <w:rsid w:val="032B2A66"/>
    <w:rsid w:val="03392922"/>
    <w:rsid w:val="03627FF2"/>
    <w:rsid w:val="04143029"/>
    <w:rsid w:val="048671AF"/>
    <w:rsid w:val="05137EF8"/>
    <w:rsid w:val="051F008D"/>
    <w:rsid w:val="05C55B42"/>
    <w:rsid w:val="06514106"/>
    <w:rsid w:val="067870A1"/>
    <w:rsid w:val="067E5607"/>
    <w:rsid w:val="0687687D"/>
    <w:rsid w:val="0698619F"/>
    <w:rsid w:val="06993363"/>
    <w:rsid w:val="06A77A8A"/>
    <w:rsid w:val="06DC3FBF"/>
    <w:rsid w:val="0747122D"/>
    <w:rsid w:val="07E84685"/>
    <w:rsid w:val="07E970E1"/>
    <w:rsid w:val="081D027F"/>
    <w:rsid w:val="092C7B0F"/>
    <w:rsid w:val="09A26253"/>
    <w:rsid w:val="0A2A03FC"/>
    <w:rsid w:val="0A6C6D7D"/>
    <w:rsid w:val="0A997545"/>
    <w:rsid w:val="0B4815C3"/>
    <w:rsid w:val="0BB760EB"/>
    <w:rsid w:val="0D361671"/>
    <w:rsid w:val="0D8B70DC"/>
    <w:rsid w:val="0E2A13FD"/>
    <w:rsid w:val="0F354532"/>
    <w:rsid w:val="0F656F6A"/>
    <w:rsid w:val="0FA33AE1"/>
    <w:rsid w:val="0FB10E9C"/>
    <w:rsid w:val="0FD3139E"/>
    <w:rsid w:val="10EB501B"/>
    <w:rsid w:val="111127E6"/>
    <w:rsid w:val="11AC2497"/>
    <w:rsid w:val="11AE548E"/>
    <w:rsid w:val="122B630F"/>
    <w:rsid w:val="12976F0D"/>
    <w:rsid w:val="14534F12"/>
    <w:rsid w:val="147005F0"/>
    <w:rsid w:val="15133D0E"/>
    <w:rsid w:val="152E5F0A"/>
    <w:rsid w:val="15530A20"/>
    <w:rsid w:val="15630137"/>
    <w:rsid w:val="162D3043"/>
    <w:rsid w:val="16412E71"/>
    <w:rsid w:val="17A20075"/>
    <w:rsid w:val="17DD674C"/>
    <w:rsid w:val="183A4A17"/>
    <w:rsid w:val="18440270"/>
    <w:rsid w:val="18C5251B"/>
    <w:rsid w:val="18F83C23"/>
    <w:rsid w:val="19180686"/>
    <w:rsid w:val="198A7DCC"/>
    <w:rsid w:val="19BC04B5"/>
    <w:rsid w:val="19D043E2"/>
    <w:rsid w:val="1A053323"/>
    <w:rsid w:val="1A152E4E"/>
    <w:rsid w:val="1A494EBB"/>
    <w:rsid w:val="1AB41255"/>
    <w:rsid w:val="1AC728AB"/>
    <w:rsid w:val="1B38393D"/>
    <w:rsid w:val="1B3A4D75"/>
    <w:rsid w:val="1B4545AD"/>
    <w:rsid w:val="1B631A39"/>
    <w:rsid w:val="1BB60CE3"/>
    <w:rsid w:val="1C4A6709"/>
    <w:rsid w:val="1CBF3942"/>
    <w:rsid w:val="1CEE3EED"/>
    <w:rsid w:val="1D943963"/>
    <w:rsid w:val="1DC607D3"/>
    <w:rsid w:val="1E010053"/>
    <w:rsid w:val="1E071E96"/>
    <w:rsid w:val="1E6C3D2A"/>
    <w:rsid w:val="1E83757E"/>
    <w:rsid w:val="1F113733"/>
    <w:rsid w:val="1FA807DA"/>
    <w:rsid w:val="202874E9"/>
    <w:rsid w:val="20F22C1A"/>
    <w:rsid w:val="212208DA"/>
    <w:rsid w:val="21400B25"/>
    <w:rsid w:val="21C54EF1"/>
    <w:rsid w:val="21D26BCF"/>
    <w:rsid w:val="21D94E05"/>
    <w:rsid w:val="222B7968"/>
    <w:rsid w:val="226C7C9D"/>
    <w:rsid w:val="22CF2BFE"/>
    <w:rsid w:val="24505CDB"/>
    <w:rsid w:val="25386D83"/>
    <w:rsid w:val="26287367"/>
    <w:rsid w:val="266B390D"/>
    <w:rsid w:val="26C52E4D"/>
    <w:rsid w:val="272726CA"/>
    <w:rsid w:val="27407E8F"/>
    <w:rsid w:val="277644A5"/>
    <w:rsid w:val="27945FB5"/>
    <w:rsid w:val="28A13D62"/>
    <w:rsid w:val="28D6327D"/>
    <w:rsid w:val="290D7CA7"/>
    <w:rsid w:val="2943360E"/>
    <w:rsid w:val="29771C90"/>
    <w:rsid w:val="29C17C14"/>
    <w:rsid w:val="29C404AD"/>
    <w:rsid w:val="29CF4D4C"/>
    <w:rsid w:val="29D66BF2"/>
    <w:rsid w:val="2A3C7EEB"/>
    <w:rsid w:val="2AC7135A"/>
    <w:rsid w:val="2BC96B91"/>
    <w:rsid w:val="2BD77ACC"/>
    <w:rsid w:val="2C0954BB"/>
    <w:rsid w:val="2C1347B0"/>
    <w:rsid w:val="2C4F1A9D"/>
    <w:rsid w:val="2C5568E5"/>
    <w:rsid w:val="2CAF7B54"/>
    <w:rsid w:val="2CC31E36"/>
    <w:rsid w:val="2CC96A32"/>
    <w:rsid w:val="2CDAC630"/>
    <w:rsid w:val="2D5664DE"/>
    <w:rsid w:val="2D8A692E"/>
    <w:rsid w:val="2D966F38"/>
    <w:rsid w:val="2DB666A5"/>
    <w:rsid w:val="2DB81592"/>
    <w:rsid w:val="2EF33008"/>
    <w:rsid w:val="2F7E844B"/>
    <w:rsid w:val="2F903F55"/>
    <w:rsid w:val="305E5958"/>
    <w:rsid w:val="30712820"/>
    <w:rsid w:val="31FC6D96"/>
    <w:rsid w:val="334F217E"/>
    <w:rsid w:val="338418CB"/>
    <w:rsid w:val="34D30249"/>
    <w:rsid w:val="35737159"/>
    <w:rsid w:val="35A85ABA"/>
    <w:rsid w:val="35D55B35"/>
    <w:rsid w:val="364542F2"/>
    <w:rsid w:val="36533F02"/>
    <w:rsid w:val="369276BF"/>
    <w:rsid w:val="36C546D4"/>
    <w:rsid w:val="36EA3E81"/>
    <w:rsid w:val="372D04DD"/>
    <w:rsid w:val="37F60FEA"/>
    <w:rsid w:val="392F5E45"/>
    <w:rsid w:val="39806231"/>
    <w:rsid w:val="39BC19DE"/>
    <w:rsid w:val="39D124C7"/>
    <w:rsid w:val="39D54C2E"/>
    <w:rsid w:val="3B5E6B39"/>
    <w:rsid w:val="3C736EF3"/>
    <w:rsid w:val="3CD75FE7"/>
    <w:rsid w:val="3CDC14A7"/>
    <w:rsid w:val="3D636123"/>
    <w:rsid w:val="3D8A6DFA"/>
    <w:rsid w:val="3DD748C3"/>
    <w:rsid w:val="3DE2510D"/>
    <w:rsid w:val="3DF4461A"/>
    <w:rsid w:val="3E03655F"/>
    <w:rsid w:val="3F192237"/>
    <w:rsid w:val="3F254029"/>
    <w:rsid w:val="3FC202F0"/>
    <w:rsid w:val="40044CA3"/>
    <w:rsid w:val="40544B3B"/>
    <w:rsid w:val="40F13F7B"/>
    <w:rsid w:val="42246F58"/>
    <w:rsid w:val="42FF4ACA"/>
    <w:rsid w:val="432723A9"/>
    <w:rsid w:val="446B30A5"/>
    <w:rsid w:val="454B48E4"/>
    <w:rsid w:val="45C84832"/>
    <w:rsid w:val="46D2792A"/>
    <w:rsid w:val="46F23FFE"/>
    <w:rsid w:val="46F47709"/>
    <w:rsid w:val="483F42E6"/>
    <w:rsid w:val="485203BF"/>
    <w:rsid w:val="489A4E59"/>
    <w:rsid w:val="4947128D"/>
    <w:rsid w:val="49792002"/>
    <w:rsid w:val="498D43CB"/>
    <w:rsid w:val="49C34E0D"/>
    <w:rsid w:val="4A062F09"/>
    <w:rsid w:val="4AEBEF3C"/>
    <w:rsid w:val="4B520D27"/>
    <w:rsid w:val="4C0C69D1"/>
    <w:rsid w:val="4C62374F"/>
    <w:rsid w:val="4C790688"/>
    <w:rsid w:val="4C9261D5"/>
    <w:rsid w:val="4CCD4891"/>
    <w:rsid w:val="4D047F4E"/>
    <w:rsid w:val="4D280F7D"/>
    <w:rsid w:val="4DB919B5"/>
    <w:rsid w:val="4E393586"/>
    <w:rsid w:val="4E591471"/>
    <w:rsid w:val="4EA95B85"/>
    <w:rsid w:val="4EC9686E"/>
    <w:rsid w:val="4EFC5D30"/>
    <w:rsid w:val="4F430FB3"/>
    <w:rsid w:val="4F824ADC"/>
    <w:rsid w:val="4F964445"/>
    <w:rsid w:val="4FE37D41"/>
    <w:rsid w:val="500720EE"/>
    <w:rsid w:val="502E69EF"/>
    <w:rsid w:val="50D63D65"/>
    <w:rsid w:val="510450F8"/>
    <w:rsid w:val="52516CF6"/>
    <w:rsid w:val="52825495"/>
    <w:rsid w:val="528E743C"/>
    <w:rsid w:val="52FB74AB"/>
    <w:rsid w:val="53582700"/>
    <w:rsid w:val="539D53D4"/>
    <w:rsid w:val="53C71C36"/>
    <w:rsid w:val="53D35190"/>
    <w:rsid w:val="53DA13D0"/>
    <w:rsid w:val="53FD2264"/>
    <w:rsid w:val="5449667E"/>
    <w:rsid w:val="54D133B6"/>
    <w:rsid w:val="55477A75"/>
    <w:rsid w:val="55800B99"/>
    <w:rsid w:val="558F63CF"/>
    <w:rsid w:val="559C7A2D"/>
    <w:rsid w:val="56BF4271"/>
    <w:rsid w:val="57036A4E"/>
    <w:rsid w:val="582D76A3"/>
    <w:rsid w:val="586737B4"/>
    <w:rsid w:val="586E2CD6"/>
    <w:rsid w:val="59411541"/>
    <w:rsid w:val="59CE54CA"/>
    <w:rsid w:val="5A296BA4"/>
    <w:rsid w:val="5A5B3400"/>
    <w:rsid w:val="5A646A8B"/>
    <w:rsid w:val="5ABF4FAA"/>
    <w:rsid w:val="5ACF62ED"/>
    <w:rsid w:val="5B0F4D90"/>
    <w:rsid w:val="5BEC03EC"/>
    <w:rsid w:val="5C586FE4"/>
    <w:rsid w:val="5C902366"/>
    <w:rsid w:val="5CA74D35"/>
    <w:rsid w:val="5E597CB4"/>
    <w:rsid w:val="5EF06F02"/>
    <w:rsid w:val="5FB03CFA"/>
    <w:rsid w:val="60847CFA"/>
    <w:rsid w:val="61ED7052"/>
    <w:rsid w:val="62315E8A"/>
    <w:rsid w:val="62EE4962"/>
    <w:rsid w:val="63A177AC"/>
    <w:rsid w:val="63EB0C8A"/>
    <w:rsid w:val="64516F4D"/>
    <w:rsid w:val="64526C5A"/>
    <w:rsid w:val="648A4594"/>
    <w:rsid w:val="64FD4EB5"/>
    <w:rsid w:val="65196AE1"/>
    <w:rsid w:val="65273CA7"/>
    <w:rsid w:val="658C0881"/>
    <w:rsid w:val="662008AA"/>
    <w:rsid w:val="66564A12"/>
    <w:rsid w:val="66886271"/>
    <w:rsid w:val="68C857DA"/>
    <w:rsid w:val="69E91427"/>
    <w:rsid w:val="6AF90744"/>
    <w:rsid w:val="6B1E3102"/>
    <w:rsid w:val="6BAA280E"/>
    <w:rsid w:val="6CEB66C0"/>
    <w:rsid w:val="6D552B9C"/>
    <w:rsid w:val="6DCB6D41"/>
    <w:rsid w:val="6E135639"/>
    <w:rsid w:val="6F7D520B"/>
    <w:rsid w:val="6FD609F9"/>
    <w:rsid w:val="6FFADEEB"/>
    <w:rsid w:val="703F078A"/>
    <w:rsid w:val="70B75D85"/>
    <w:rsid w:val="71DD153E"/>
    <w:rsid w:val="727366E6"/>
    <w:rsid w:val="73424E40"/>
    <w:rsid w:val="74253FA2"/>
    <w:rsid w:val="74334030"/>
    <w:rsid w:val="749837F5"/>
    <w:rsid w:val="75BD0103"/>
    <w:rsid w:val="75E0085F"/>
    <w:rsid w:val="769831CF"/>
    <w:rsid w:val="76F450A2"/>
    <w:rsid w:val="7796475D"/>
    <w:rsid w:val="78913856"/>
    <w:rsid w:val="78C039F2"/>
    <w:rsid w:val="791228CC"/>
    <w:rsid w:val="79683E4C"/>
    <w:rsid w:val="79772944"/>
    <w:rsid w:val="79ED1831"/>
    <w:rsid w:val="7A3F710C"/>
    <w:rsid w:val="7AF17246"/>
    <w:rsid w:val="7B5978C2"/>
    <w:rsid w:val="7BB102B6"/>
    <w:rsid w:val="7BEF6D51"/>
    <w:rsid w:val="7D4E43E0"/>
    <w:rsid w:val="7D9C67D5"/>
    <w:rsid w:val="7DBA3FA6"/>
    <w:rsid w:val="7DD7D310"/>
    <w:rsid w:val="7DFF2F12"/>
    <w:rsid w:val="7E206133"/>
    <w:rsid w:val="7E97382D"/>
    <w:rsid w:val="7F3C1E7A"/>
    <w:rsid w:val="7F7D2862"/>
    <w:rsid w:val="7F9E2525"/>
    <w:rsid w:val="7F9E5C4E"/>
    <w:rsid w:val="7FBB47B5"/>
    <w:rsid w:val="7FC112EE"/>
    <w:rsid w:val="7FFE57F9"/>
    <w:rsid w:val="7FFE8334"/>
    <w:rsid w:val="ADF7BF0C"/>
    <w:rsid w:val="BBF7C537"/>
    <w:rsid w:val="BEFE3713"/>
    <w:rsid w:val="D76FABDC"/>
    <w:rsid w:val="FDFE07C2"/>
    <w:rsid w:val="FED7650A"/>
    <w:rsid w:val="FEFD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autoRedefine/>
    <w:qFormat/>
    <w:uiPriority w:val="2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5783</Words>
  <Characters>7112</Characters>
  <Lines>47</Lines>
  <Paragraphs>13</Paragraphs>
  <TotalTime>27</TotalTime>
  <ScaleCrop>false</ScaleCrop>
  <LinksUpToDate>false</LinksUpToDate>
  <CharactersWithSpaces>7115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2023-12-23T09:47:00Z</dcterms:created>
  <dc:creator>xb21cn</dc:creator>
  <cp:lastModifiedBy>WPS_1679969836</cp:lastModifiedBy>
  <cp:lastPrinted>2024-12-24T07:37:00Z</cp:lastPrinted>
  <dcterms:modified xsi:type="dcterms:W3CDTF">2025-01-13T01:48:36Z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0842A2AEC5354CF682367355A70364ED_13</vt:lpwstr>
  </property>
  <property fmtid="{D5CDD505-2E9C-101B-9397-08002B2CF9AE}" pid="4" name="KSOTemplateDocerSaveRecord">
    <vt:lpwstr>eyJoZGlkIjoiNWVjYmExOWNjY2I4NDE1YjI3MTVjZGI5OGJhYTkzYzYiLCJ1c2VySWQiOiIxNDg0ODQ1MTE1In0=</vt:lpwstr>
  </property>
</Properties>
</file>