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ascii="仿宋_GB2312" w:eastAsia="仿宋_GB2312"/>
          <w:sz w:val="32"/>
          <w:szCs w:val="32"/>
        </w:rPr>
      </w:pPr>
      <w:r>
        <w:rPr>
          <w:rFonts w:hint="eastAsia" w:ascii="仿宋_GB2312" w:eastAsia="仿宋_GB2312"/>
          <w:sz w:val="32"/>
          <w:szCs w:val="32"/>
        </w:rPr>
        <w:t>公开属性:主动公开（</w:t>
      </w:r>
      <w:bookmarkStart w:id="0" w:name="_GoBack"/>
      <w:bookmarkEnd w:id="0"/>
      <w:r>
        <w:rPr>
          <w:rFonts w:hint="eastAsia" w:ascii="仿宋_GB2312" w:eastAsia="仿宋_GB2312"/>
          <w:sz w:val="32"/>
          <w:szCs w:val="32"/>
        </w:rPr>
        <w:t>全文公开）</w:t>
      </w:r>
    </w:p>
    <w:p>
      <w:pPr>
        <w:spacing w:line="560" w:lineRule="exact"/>
        <w:jc w:val="right"/>
        <w:rPr>
          <w:rFonts w:ascii="仿宋_GB2312" w:eastAsia="仿宋_GB2312"/>
          <w:sz w:val="32"/>
          <w:szCs w:val="32"/>
        </w:rPr>
      </w:pPr>
    </w:p>
    <w:p>
      <w:pPr>
        <w:jc w:val="center"/>
        <w:rPr>
          <w:rFonts w:ascii="华文中宋" w:hAnsi="华文中宋" w:eastAsia="华文中宋"/>
          <w:sz w:val="18"/>
          <w:szCs w:val="18"/>
        </w:rPr>
      </w:pPr>
      <w:r>
        <w:rPr>
          <w:rFonts w:hint="eastAsia" w:ascii="华文中宋" w:hAnsi="华文中宋" w:eastAsia="华文中宋"/>
          <w:color w:val="FF0000"/>
          <w:sz w:val="48"/>
          <w:szCs w:val="48"/>
        </w:rPr>
        <w:t>上海市崇明区市场监督管理局</w:t>
      </w:r>
    </w:p>
    <w:p>
      <w:pPr>
        <w:rPr>
          <w:rFonts w:ascii="华文中宋" w:hAnsi="华文中宋" w:eastAsia="华文中宋"/>
          <w:sz w:val="18"/>
          <w:szCs w:val="18"/>
        </w:rPr>
      </w:pPr>
    </w:p>
    <w:p>
      <w:pPr>
        <w:rPr>
          <w:rFonts w:ascii="华文中宋" w:hAnsi="华文中宋" w:eastAsia="华文中宋"/>
          <w:sz w:val="18"/>
          <w:szCs w:val="18"/>
        </w:rPr>
      </w:pPr>
      <w:r>
        <w:rPr>
          <w:rFonts w:ascii="华文中宋" w:hAnsi="华文中宋" w:eastAsia="华文中宋"/>
          <w:color w:val="FF0000"/>
          <w:sz w:val="18"/>
          <w:szCs w:val="18"/>
        </w:rPr>
        <w:pict>
          <v:line id="直线 3" o:spid="_x0000_s1028" o:spt="20" style="position:absolute;left:0pt;margin-left:0pt;margin-top:-0.2pt;height:0pt;width:459pt;z-index:251660288;mso-width-relative:page;mso-height-relative:page;" stroked="t" coordsize="21600,21600">
            <v:path arrowok="t"/>
            <v:fill focussize="0,0"/>
            <v:stroke color="#FF0000"/>
            <v:imagedata o:title=""/>
            <o:lock v:ext="edit"/>
          </v:line>
        </w:pict>
      </w:r>
    </w:p>
    <w:p/>
    <w:p>
      <w:pPr>
        <w:spacing w:line="600" w:lineRule="exact"/>
        <w:jc w:val="center"/>
        <w:rPr>
          <w:rFonts w:ascii="华文中宋" w:hAnsi="华文中宋" w:eastAsia="华文中宋"/>
          <w:sz w:val="36"/>
          <w:szCs w:val="36"/>
        </w:rPr>
      </w:pPr>
      <w:r>
        <w:rPr>
          <w:rFonts w:hint="eastAsia" w:ascii="华文中宋" w:hAnsi="华文中宋" w:eastAsia="华文中宋"/>
          <w:sz w:val="36"/>
          <w:szCs w:val="36"/>
        </w:rPr>
        <w:t>对区政协二届一次会议</w:t>
      </w:r>
    </w:p>
    <w:p>
      <w:pPr>
        <w:spacing w:line="600" w:lineRule="exact"/>
        <w:jc w:val="center"/>
        <w:rPr>
          <w:rFonts w:ascii="华文中宋" w:hAnsi="华文中宋" w:eastAsia="华文中宋"/>
          <w:color w:val="auto"/>
          <w:sz w:val="36"/>
          <w:szCs w:val="36"/>
        </w:rPr>
      </w:pPr>
      <w:r>
        <w:rPr>
          <w:rFonts w:hint="eastAsia" w:ascii="华文中宋" w:hAnsi="华文中宋" w:eastAsia="华文中宋"/>
          <w:color w:val="auto"/>
          <w:sz w:val="36"/>
          <w:szCs w:val="36"/>
        </w:rPr>
        <w:t>第002</w:t>
      </w:r>
      <w:r>
        <w:rPr>
          <w:rFonts w:hint="eastAsia" w:ascii="华文中宋" w:hAnsi="华文中宋" w:eastAsia="华文中宋"/>
          <w:sz w:val="36"/>
          <w:szCs w:val="36"/>
        </w:rPr>
        <w:t>2</w:t>
      </w:r>
      <w:r>
        <w:rPr>
          <w:rFonts w:hint="eastAsia" w:ascii="华文中宋" w:hAnsi="华文中宋" w:eastAsia="华文中宋"/>
          <w:color w:val="auto"/>
          <w:sz w:val="36"/>
          <w:szCs w:val="36"/>
        </w:rPr>
        <w:t>号提案的答复</w:t>
      </w:r>
    </w:p>
    <w:p>
      <w:pPr>
        <w:spacing w:line="400" w:lineRule="exact"/>
      </w:pPr>
    </w:p>
    <w:p>
      <w:pPr>
        <w:spacing w:line="560" w:lineRule="exact"/>
        <w:jc w:val="right"/>
        <w:rPr>
          <w:rFonts w:ascii="仿宋_GB2312" w:eastAsia="仿宋_GB2312"/>
          <w:sz w:val="32"/>
          <w:szCs w:val="32"/>
        </w:rPr>
      </w:pPr>
      <w:r>
        <w:rPr>
          <w:rFonts w:hint="eastAsia" w:ascii="仿宋_GB2312" w:eastAsia="仿宋_GB2312"/>
          <w:sz w:val="32"/>
          <w:szCs w:val="32"/>
        </w:rPr>
        <w:t>办理结果：解决或采纳</w:t>
      </w:r>
    </w:p>
    <w:p>
      <w:pPr>
        <w:spacing w:line="560" w:lineRule="exact"/>
        <w:rPr>
          <w:rFonts w:ascii="仿宋_GB2312" w:eastAsia="仿宋_GB2312"/>
          <w:sz w:val="32"/>
          <w:szCs w:val="32"/>
        </w:rPr>
      </w:pPr>
    </w:p>
    <w:p>
      <w:pPr>
        <w:spacing w:line="560" w:lineRule="exact"/>
        <w:rPr>
          <w:rFonts w:ascii="仿宋_GB2312" w:eastAsia="仿宋_GB2312"/>
          <w:spacing w:val="-6"/>
          <w:sz w:val="32"/>
          <w:szCs w:val="32"/>
        </w:rPr>
      </w:pPr>
      <w:r>
        <w:rPr>
          <w:rFonts w:hint="eastAsia" w:ascii="仿宋_GB2312" w:eastAsia="仿宋_GB2312"/>
          <w:spacing w:val="-6"/>
          <w:sz w:val="32"/>
          <w:szCs w:val="32"/>
        </w:rPr>
        <w:t>宋宗团委员：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您提出的 “关于让老百姓吃上放心食品的建议”的提案收悉。经研究，现将办理情况答复如下：</w:t>
      </w:r>
    </w:p>
    <w:p>
      <w:pPr>
        <w:spacing w:line="560" w:lineRule="exact"/>
        <w:ind w:firstLine="640" w:firstLineChars="200"/>
        <w:rPr>
          <w:rFonts w:ascii="黑体" w:eastAsia="黑体"/>
          <w:sz w:val="32"/>
          <w:szCs w:val="32"/>
        </w:rPr>
      </w:pPr>
      <w:r>
        <w:rPr>
          <w:rFonts w:hint="eastAsia" w:ascii="黑体" w:eastAsia="黑体"/>
          <w:sz w:val="32"/>
          <w:szCs w:val="32"/>
        </w:rPr>
        <w:t>一、对本提案的办理概述</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首先，非常感谢您对食品安全的关注！食品安全关系百姓身体健康，社会稳定发展，是重要的民生工程之一，党中央、国务院历来高度重视食品安全问题，习近平总书记曾深刻指出“能不能在食品安全上给老百姓一个满意的交代，是对我们执政能力的重大考验”。收到第0022号提案后，我局高度重视，立即与您取得联系，进一步听取了意见建议，并组织有关科室召开专题会议进行研讨。会后，我局及时与区卫生健康委沟通协调，认真听取、汇总了区卫生健康委的会办意见后形成本答复意见。</w:t>
      </w:r>
    </w:p>
    <w:p>
      <w:pPr>
        <w:spacing w:line="560" w:lineRule="exact"/>
        <w:ind w:firstLine="640" w:firstLineChars="200"/>
        <w:rPr>
          <w:rFonts w:ascii="黑体" w:eastAsia="黑体"/>
          <w:sz w:val="32"/>
          <w:szCs w:val="32"/>
        </w:rPr>
      </w:pPr>
      <w:r>
        <w:rPr>
          <w:rFonts w:hint="eastAsia" w:ascii="黑体" w:eastAsia="黑体"/>
          <w:sz w:val="32"/>
          <w:szCs w:val="32"/>
        </w:rPr>
        <w:t>二、对提案建议的答复</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近年来在区委、区政府的坚强领导下，我区食品安全工作以创建国家食品安全示范城区为契机，进一步建立健全食品安全综合监管体制，各监管部门各司其职，实施了食品安全“从田头到餐桌”的全过程全链条监管。2021年确保了食品安全平稳可控、稳中向好态势，共计开展与人民生活密切相关的食品抽检5319件次，合格率98.5% ，快检40890件次，合格率99%；通过项目化手段推进示范创建，创建“守信超市”149户、“放心食堂”176户，创建率均达100%；全年未发生重大食品安全事故，群众对食品安全的知晓度、满意度持续提升，切实保障了群众的饮食安全。</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根据您提案中所述的问题及提出的建议，2022年，我局将进一步采取以下措施加强本区食品安全监管工作，“让老百姓吃上放心食品”。</w:t>
      </w:r>
    </w:p>
    <w:p>
      <w:pPr>
        <w:spacing w:line="560" w:lineRule="exact"/>
        <w:ind w:firstLine="640" w:firstLineChars="200"/>
        <w:rPr>
          <w:rFonts w:ascii="楷体_GB2312" w:eastAsia="楷体_GB2312"/>
          <w:sz w:val="32"/>
          <w:szCs w:val="32"/>
        </w:rPr>
      </w:pPr>
      <w:r>
        <w:rPr>
          <w:rFonts w:hint="eastAsia" w:ascii="楷体_GB2312" w:eastAsia="楷体_GB2312"/>
          <w:sz w:val="32"/>
          <w:szCs w:val="32"/>
        </w:rPr>
        <w:t>（一）进一步优化食品安全分段监管工作</w:t>
      </w:r>
    </w:p>
    <w:p>
      <w:pPr>
        <w:topLinePunct/>
        <w:adjustRightInd w:val="0"/>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1.持续落实党政同责。</w:t>
      </w:r>
      <w:r>
        <w:rPr>
          <w:rFonts w:hint="eastAsia" w:ascii="仿宋_GB2312" w:hAnsi="仿宋_GB2312" w:eastAsia="仿宋_GB2312" w:cs="仿宋_GB2312"/>
          <w:color w:val="000000"/>
          <w:sz w:val="32"/>
          <w:szCs w:val="32"/>
        </w:rPr>
        <w:t>贯彻落实“四个最严”要求，健全“四位一体”责任体系，统筹做好年度食品安全工作，以区食药安委名义印发《2022年崇明区食品安全重点工作安排》，明确年度工作目标、任务和各部门工作职责；实施食品安全目标绩效管理，将食品安全纳入党政年度综合考核目标，权重占3%，区、乡镇、村居层层签订年度目标责任书，压实属地责任；持续推进“双达标”监管队伍能力建设和区、乡镇、村居三级食品安全网络队伍建设，</w:t>
      </w:r>
      <w:r>
        <w:rPr>
          <w:rFonts w:hint="eastAsia" w:ascii="仿宋_GB2312" w:hAnsi="仿宋_GB2312" w:eastAsia="仿宋_GB2312" w:cs="仿宋_GB2312"/>
          <w:sz w:val="32"/>
          <w:szCs w:val="32"/>
        </w:rPr>
        <w:t>形成政府统一领导、食药安委组织协调、相关部门和村居协同发力的工作体系。</w:t>
      </w:r>
    </w:p>
    <w:p>
      <w:pPr>
        <w:topLinePunct/>
        <w:adjustRightInd w:val="0"/>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2.加强食品安全信息互通共享。一是</w:t>
      </w:r>
      <w:r>
        <w:rPr>
          <w:rFonts w:hint="eastAsia" w:ascii="仿宋_GB2312" w:hAnsi="仿宋_GB2312" w:eastAsia="仿宋_GB2312" w:cs="仿宋_GB2312"/>
          <w:sz w:val="32"/>
          <w:szCs w:val="32"/>
        </w:rPr>
        <w:t>建立健全食品安全风险监（检）测联席会议制度，在区食药安办统筹协调下，会同区卫生健康委(疾控中心）、区农业农村委等部门定期组织召开食品安全风险评估专家会，专题评估阶段、区域性食品安全风险；</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强化食品安全监（检）测资源共享，实现同区农业农村委在绿色食品检测领域资源共享，积极推进市场监管所与乡镇农技中心共享快检室检测资源，实现农残、有机磷检测、瘦肉精、腐霉利等项目检测共享，有效解决食品快检“最后一公里”需求。</w:t>
      </w:r>
      <w:r>
        <w:rPr>
          <w:rFonts w:hint="eastAsia" w:ascii="仿宋_GB2312" w:hAnsi="仿宋_GB2312" w:eastAsia="仿宋_GB2312" w:cs="仿宋_GB2312"/>
          <w:color w:val="000000" w:themeColor="text1"/>
          <w:sz w:val="32"/>
          <w:szCs w:val="32"/>
        </w:rPr>
        <w:t>2021年我局共计接收区农产品监测中心委托的绿色农产品样品319件，涉及蔬菜、林果和粮油三大类，经检测全部合格；</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建立抽检信息互通互报制，与区农业农村委建立“绿色食品质量保障”微信工作群，即时通报绿色地产食用农产品检测结果</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与区卫生健康委（疾控）建立进口冷链食品中转查验库核酸筛查微信工作群，每天共享检测筛查结果。此外，《崇明区食品安全风险监测实施方案》明确要求对于监测中发现的食品安全隐患，区卫生健康委应当及时通报区市场监管局。</w:t>
      </w:r>
    </w:p>
    <w:p>
      <w:pPr>
        <w:topLinePunct/>
        <w:adjustRightInd w:val="0"/>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3.强化食品抽检信息公开。</w:t>
      </w:r>
      <w:r>
        <w:rPr>
          <w:rFonts w:hint="eastAsia" w:ascii="仿宋_GB2312" w:hAnsi="仿宋_GB2312" w:eastAsia="仿宋_GB2312" w:cs="仿宋_GB2312"/>
          <w:sz w:val="32"/>
          <w:szCs w:val="32"/>
        </w:rPr>
        <w:t>由区食药安办统筹公布食品抽检信息，实行每月定期公布制，以区食药安办微信公众号、上海崇明门户网站、国家抽检系统平台等为载体，公示各环节食品抽检信息，不合格产品召回、处置情况等。为避免检验机构重复抽检，我局充分整合有关科室、局属食药检所等部门抽检监测计划、任务、预算等，专门制定印发了《2022年崇明区食品安全抽检监测工作计划》，要求加大抽检计划统筹力度，减少重复抽样，提高食品抽检的有效性。</w:t>
      </w:r>
    </w:p>
    <w:p>
      <w:pPr>
        <w:spacing w:line="560" w:lineRule="exact"/>
        <w:ind w:firstLine="640" w:firstLineChars="200"/>
        <w:rPr>
          <w:rFonts w:ascii="楷体_GB2312" w:eastAsia="楷体_GB2312"/>
          <w:sz w:val="32"/>
          <w:szCs w:val="32"/>
        </w:rPr>
      </w:pPr>
      <w:r>
        <w:rPr>
          <w:rFonts w:hint="eastAsia" w:ascii="楷体_GB2312" w:eastAsia="楷体_GB2312"/>
          <w:sz w:val="32"/>
          <w:szCs w:val="32"/>
        </w:rPr>
        <w:t>（二）继续加大对食品安全监管的投入</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1.积极推进集贸市场等开展快速检测。一是</w:t>
      </w:r>
      <w:r>
        <w:rPr>
          <w:rFonts w:hint="eastAsia" w:ascii="仿宋_GB2312" w:hAnsi="仿宋_GB2312" w:eastAsia="仿宋_GB2312" w:cs="仿宋_GB2312"/>
          <w:sz w:val="32"/>
          <w:szCs w:val="32"/>
        </w:rPr>
        <w:t>督促指导集贸市场、大型超市等建立快速检测制度，配置检测设备、有关试剂和工作人员，每天对场内销售的蔬菜和水果进行农药残留抽查检测并做好检测记录，及时公示检测结果；定期对快检人员开展培训，使其熟知常规项目的快检方法，熟练掌握快检设备的操作技能。</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积极推进有条件的标准化集贸市场快检室建设，争取属地政府支持，按照统一标准实施建设，配齐食品安全快检仪器、专用实验台等基本设施，并统一标准化检测，以新鲜果蔬、肉制品、水产品及卤菜等散装食品为主，检测项目包括农残、亚硝酸盐、瘦肉精等，督促经营者自觉把好农产品质量安全关。</w:t>
      </w:r>
    </w:p>
    <w:p>
      <w:pPr>
        <w:spacing w:line="560" w:lineRule="exact"/>
        <w:ind w:firstLine="643" w:firstLineChars="200"/>
        <w:rPr>
          <w:rFonts w:ascii="仿宋_GB2312" w:eastAsia="仿宋_GB2312"/>
          <w:sz w:val="32"/>
          <w:szCs w:val="32"/>
        </w:rPr>
      </w:pPr>
      <w:r>
        <w:rPr>
          <w:rFonts w:hint="eastAsia" w:ascii="仿宋_GB2312" w:hAnsi="仿宋_GB2312" w:eastAsia="仿宋_GB2312" w:cs="仿宋_GB2312"/>
          <w:b/>
          <w:bCs/>
          <w:sz w:val="32"/>
          <w:szCs w:val="32"/>
        </w:rPr>
        <w:t>2.加强基层市场监管所快检室建设。</w:t>
      </w:r>
      <w:r>
        <w:rPr>
          <w:rFonts w:hint="eastAsia" w:ascii="仿宋_GB2312" w:hAnsi="仿宋_GB2312" w:eastAsia="仿宋_GB2312" w:cs="仿宋_GB2312"/>
          <w:sz w:val="32"/>
          <w:szCs w:val="32"/>
        </w:rPr>
        <w:t>全区18个乡镇市场监管所</w:t>
      </w:r>
      <w:r>
        <w:rPr>
          <w:rFonts w:hint="eastAsia" w:ascii="仿宋_GB2312" w:hAnsi="仿宋_GB2312" w:eastAsia="仿宋_GB2312" w:cs="仿宋_GB2312"/>
          <w:color w:val="000000"/>
          <w:sz w:val="32"/>
          <w:szCs w:val="32"/>
        </w:rPr>
        <w:t>均已</w:t>
      </w:r>
      <w:r>
        <w:rPr>
          <w:rFonts w:hint="eastAsia" w:ascii="仿宋_GB2312" w:eastAsia="仿宋_GB2312"/>
          <w:sz w:val="32"/>
          <w:szCs w:val="32"/>
        </w:rPr>
        <w:t>按照标准化建设要求，设立快检室，配备食品安全快检仪、食物中毒应急箱、重大活动保障箱、快检车等装置。下一步我局将把各乡镇市场监管所快检室设备更新、耗材采购等纳入年度办公预算，确保硬件设施得到有效保障；根据食品快检计划，按照季度或半年频次，通过市市场监管局采购或区市场监管局自行采购瘦肉精、农药残留等快检耗材，数据及时录入上海市食品安全快检系统，确保基层各项快检任务顺利进行。同时，不断释放快检室检验效能，每月25日开展食品安全快速检测开放日活动，邀请群众参观快检室或在集贸市场等公共区域设立快速检测点，提供免费快检服务，满足群众的快检需求。</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3.加强食品生产经营单位培训教育。一是</w:t>
      </w:r>
      <w:r>
        <w:rPr>
          <w:rFonts w:hint="eastAsia" w:ascii="仿宋_GB2312" w:hAnsi="仿宋_GB2312" w:eastAsia="仿宋_GB2312" w:cs="仿宋_GB2312"/>
          <w:sz w:val="32"/>
          <w:szCs w:val="32"/>
        </w:rPr>
        <w:t>严格贯彻食品生产经营单位法人代表、关键岗位从业人员接受食品安全培训60小时/年/人的要求，委托崇明食品安全卫生行业协会组织集中培训，培训合格后方可上岗；</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督促各市场监管所定期组织食品安全法律法规知识培训教育，增强食品生产经营者食品安全第一责任人意识、规范合法经营意识、诚实守信意识和规范操作能力；</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以创建国家食品安全示范城区为契机，进一步深化食品生产企业良好生产规范、守信超市、守信便利店、放心肉菜超市、放心食堂、放心餐厅等创建活动，不断提高广度和深度，督促落实生产经营主体责任，倡导规范经营、诚信经营，全面提升行业管理水平。</w:t>
      </w:r>
    </w:p>
    <w:p>
      <w:pPr>
        <w:spacing w:line="560" w:lineRule="exact"/>
        <w:ind w:firstLine="640" w:firstLineChars="200"/>
        <w:rPr>
          <w:rFonts w:ascii="楷体_GB2312" w:eastAsia="楷体_GB2312"/>
          <w:sz w:val="32"/>
          <w:szCs w:val="32"/>
        </w:rPr>
      </w:pPr>
      <w:r>
        <w:rPr>
          <w:rFonts w:hint="eastAsia" w:ascii="楷体_GB2312" w:eastAsia="楷体_GB2312"/>
          <w:sz w:val="32"/>
          <w:szCs w:val="32"/>
        </w:rPr>
        <w:t>（三）对举报属实的人员落实投诉举报奖励</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鼓励社会公众积极举报食品安全违法犯罪行为，新修订的《上海市食品安全举报奖励办法》加大了对投诉举报的奖励力度，分四个奖励标准，按照举报案件罚没款金额，综合考虑涉案货值金额、奖励等级、社会影响程度等因素计算奖励金额，每起案件的举报奖励金额原则上不超过50万元。我局高度重视食品安全投诉举报工作，认真贯彻落实《上海市食品安全举报奖励办法》各项规定，积极鼓励群众举报食品安全违法犯罪行为，2021年以来妥善处理食品安全投诉举报904件，按时办结率100%。2021年至今已落实举报奖励件2件。下一步将不断加强宣传教育工作，以食品安全宣传周等为契机，线上线下开展形式多样的宣传教育活动，大力普及科普知识和法律法规知识等，提高群众对食品安全投诉举报的认识，吸引群众广泛积极参与；进一步畅通投诉举报渠道，及时受理处置群众投诉举报诉求，对符合奖励条件的予以奖励；强化社会共治，发挥食品药品志愿者队伍明察暗访作用，认真听取回应人大政协代表的建议意见等，不断提升社会各方对食品安全工作的参与度，</w:t>
      </w:r>
      <w:r>
        <w:rPr>
          <w:rFonts w:hint="eastAsia" w:ascii="仿宋_GB2312" w:hAnsi="仿宋_GB2312" w:eastAsia="仿宋_GB2312" w:cs="仿宋_GB2312"/>
          <w:color w:val="000000"/>
          <w:sz w:val="32"/>
          <w:szCs w:val="32"/>
        </w:rPr>
        <w:t>形成社会广泛参与、人人关注的良好食品安全氛围，让违法违规行为无处遁形。</w:t>
      </w:r>
    </w:p>
    <w:p>
      <w:pPr>
        <w:spacing w:line="560" w:lineRule="exact"/>
        <w:ind w:right="320" w:firstLine="640" w:firstLineChars="200"/>
        <w:jc w:val="right"/>
        <w:rPr>
          <w:rFonts w:ascii="仿宋_GB2312" w:hAnsi="仿宋_GB2312" w:eastAsia="仿宋_GB2312" w:cs="仿宋_GB2312"/>
          <w:sz w:val="32"/>
          <w:szCs w:val="32"/>
        </w:rPr>
      </w:pPr>
    </w:p>
    <w:p>
      <w:pPr>
        <w:spacing w:line="560" w:lineRule="exact"/>
        <w:ind w:right="320" w:firstLine="640" w:firstLineChars="200"/>
        <w:jc w:val="right"/>
        <w:rPr>
          <w:rFonts w:ascii="仿宋_GB2312" w:hAnsi="仿宋_GB2312" w:eastAsia="仿宋_GB2312" w:cs="仿宋_GB2312"/>
          <w:sz w:val="32"/>
          <w:szCs w:val="32"/>
        </w:rPr>
      </w:pPr>
    </w:p>
    <w:p>
      <w:pPr>
        <w:spacing w:line="560" w:lineRule="exact"/>
        <w:ind w:right="320" w:firstLine="640" w:firstLineChars="200"/>
        <w:jc w:val="right"/>
        <w:rPr>
          <w:rFonts w:ascii="仿宋_GB2312" w:hAnsi="仿宋_GB2312" w:eastAsia="仿宋_GB2312" w:cs="仿宋_GB2312"/>
          <w:sz w:val="32"/>
          <w:szCs w:val="32"/>
        </w:rPr>
      </w:pPr>
    </w:p>
    <w:p>
      <w:pPr>
        <w:spacing w:line="560" w:lineRule="exact"/>
        <w:ind w:right="320" w:firstLine="640" w:firstLineChars="200"/>
        <w:jc w:val="right"/>
        <w:rPr>
          <w:rFonts w:ascii="仿宋_GB2312" w:hAnsi="仿宋_GB2312" w:eastAsia="仿宋_GB2312" w:cs="仿宋_GB2312"/>
          <w:sz w:val="32"/>
          <w:szCs w:val="32"/>
        </w:rPr>
      </w:pPr>
      <w:r>
        <w:rPr>
          <w:rFonts w:hint="eastAsia" w:ascii="仿宋_GB2312" w:hAnsi="仿宋_GB2312" w:eastAsia="仿宋_GB2312" w:cs="仿宋_GB2312"/>
          <w:sz w:val="32"/>
          <w:szCs w:val="32"/>
        </w:rPr>
        <w:t>上海市崇明区市场监督管理局</w:t>
      </w:r>
    </w:p>
    <w:p>
      <w:pPr>
        <w:spacing w:line="560" w:lineRule="exact"/>
        <w:ind w:right="1120" w:firstLine="640" w:firstLineChars="200"/>
        <w:jc w:val="right"/>
        <w:rPr>
          <w:rFonts w:ascii="仿宋_GB2312" w:eastAsia="仿宋_GB2312"/>
          <w:sz w:val="32"/>
          <w:szCs w:val="32"/>
        </w:rPr>
      </w:pPr>
      <w:r>
        <w:rPr>
          <w:rFonts w:hint="eastAsia" w:ascii="仿宋_GB2312" w:eastAsia="仿宋_GB2312"/>
          <w:sz w:val="32"/>
          <w:szCs w:val="32"/>
        </w:rPr>
        <w:t>2022年5月9日</w:t>
      </w:r>
    </w:p>
    <w:p>
      <w:pPr>
        <w:spacing w:line="560" w:lineRule="exact"/>
        <w:rPr>
          <w:rFonts w:ascii="仿宋_GB2312" w:eastAsia="仿宋_GB2312"/>
          <w:sz w:val="32"/>
          <w:szCs w:val="32"/>
        </w:rPr>
      </w:pPr>
    </w:p>
    <w:p>
      <w:pPr>
        <w:pStyle w:val="5"/>
        <w:spacing w:line="560" w:lineRule="exact"/>
      </w:pPr>
    </w:p>
    <w:p>
      <w:pPr>
        <w:spacing w:line="560" w:lineRule="exact"/>
      </w:pPr>
    </w:p>
    <w:p>
      <w:pPr>
        <w:spacing w:line="560" w:lineRule="exact"/>
        <w:rPr>
          <w:rFonts w:ascii="仿宋_GB2312" w:eastAsia="仿宋_GB2312"/>
          <w:sz w:val="28"/>
          <w:szCs w:val="28"/>
        </w:rPr>
      </w:pPr>
      <w:r>
        <w:rPr>
          <w:rFonts w:hint="eastAsia" w:ascii="仿宋_GB2312" w:eastAsia="仿宋_GB2312"/>
          <w:sz w:val="28"/>
          <w:szCs w:val="28"/>
        </w:rPr>
        <w:t>联系人姓名：施  健                       联系电话：69612023</w:t>
      </w:r>
    </w:p>
    <w:p>
      <w:pPr>
        <w:spacing w:line="560" w:lineRule="exact"/>
        <w:rPr>
          <w:rFonts w:ascii="仿宋_GB2312" w:eastAsia="仿宋_GB2312"/>
          <w:sz w:val="28"/>
          <w:szCs w:val="28"/>
        </w:rPr>
      </w:pPr>
      <w:r>
        <w:rPr>
          <w:rFonts w:hint="eastAsia" w:ascii="仿宋_GB2312" w:eastAsia="仿宋_GB2312"/>
          <w:sz w:val="28"/>
          <w:szCs w:val="28"/>
        </w:rPr>
        <w:t>联系地址：崇明区城桥镇东门路388号       邮政编码：202150</w:t>
      </w: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52" o:spid="_x0000_s2052"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6D1CA1"/>
    <w:rsid w:val="000F29B2"/>
    <w:rsid w:val="001102D6"/>
    <w:rsid w:val="00122DDF"/>
    <w:rsid w:val="00133173"/>
    <w:rsid w:val="00197643"/>
    <w:rsid w:val="001F0979"/>
    <w:rsid w:val="002E2061"/>
    <w:rsid w:val="00322192"/>
    <w:rsid w:val="00324241"/>
    <w:rsid w:val="00346BE5"/>
    <w:rsid w:val="0035345D"/>
    <w:rsid w:val="00402E15"/>
    <w:rsid w:val="00426B94"/>
    <w:rsid w:val="0044588F"/>
    <w:rsid w:val="004A7997"/>
    <w:rsid w:val="004B7E46"/>
    <w:rsid w:val="004E3D89"/>
    <w:rsid w:val="00517E09"/>
    <w:rsid w:val="0055314C"/>
    <w:rsid w:val="005674C7"/>
    <w:rsid w:val="005C5222"/>
    <w:rsid w:val="005E15A6"/>
    <w:rsid w:val="00611A88"/>
    <w:rsid w:val="00690D0B"/>
    <w:rsid w:val="006D1CA1"/>
    <w:rsid w:val="006D4A43"/>
    <w:rsid w:val="007248FF"/>
    <w:rsid w:val="0077155B"/>
    <w:rsid w:val="008564F5"/>
    <w:rsid w:val="00866AFA"/>
    <w:rsid w:val="008B5229"/>
    <w:rsid w:val="008C4375"/>
    <w:rsid w:val="008C7E1D"/>
    <w:rsid w:val="008F75F3"/>
    <w:rsid w:val="00901BCA"/>
    <w:rsid w:val="00924B80"/>
    <w:rsid w:val="0094284B"/>
    <w:rsid w:val="009672BE"/>
    <w:rsid w:val="0099656A"/>
    <w:rsid w:val="009A2C22"/>
    <w:rsid w:val="009B3DFD"/>
    <w:rsid w:val="009B566A"/>
    <w:rsid w:val="00A43C77"/>
    <w:rsid w:val="00A824FD"/>
    <w:rsid w:val="00AD64E5"/>
    <w:rsid w:val="00B34DCA"/>
    <w:rsid w:val="00B831E0"/>
    <w:rsid w:val="00BA52FB"/>
    <w:rsid w:val="00BB61E8"/>
    <w:rsid w:val="00BE1EF4"/>
    <w:rsid w:val="00BE5B51"/>
    <w:rsid w:val="00C00ACF"/>
    <w:rsid w:val="00C772D6"/>
    <w:rsid w:val="00CD7BF7"/>
    <w:rsid w:val="00CE431E"/>
    <w:rsid w:val="00CF155F"/>
    <w:rsid w:val="00CF7429"/>
    <w:rsid w:val="00D97B04"/>
    <w:rsid w:val="00DA30F0"/>
    <w:rsid w:val="00DE28B3"/>
    <w:rsid w:val="00DE50F0"/>
    <w:rsid w:val="00E310AF"/>
    <w:rsid w:val="00E54581"/>
    <w:rsid w:val="00E61C8C"/>
    <w:rsid w:val="00EB560B"/>
    <w:rsid w:val="00F51177"/>
    <w:rsid w:val="04714B20"/>
    <w:rsid w:val="0B4765DB"/>
    <w:rsid w:val="0C5E54F8"/>
    <w:rsid w:val="0D505C1B"/>
    <w:rsid w:val="0FEB618C"/>
    <w:rsid w:val="116535F1"/>
    <w:rsid w:val="12795FD3"/>
    <w:rsid w:val="15AE25A0"/>
    <w:rsid w:val="18690F96"/>
    <w:rsid w:val="18D777E3"/>
    <w:rsid w:val="19C6508F"/>
    <w:rsid w:val="19C97EBE"/>
    <w:rsid w:val="1C472209"/>
    <w:rsid w:val="1D391C46"/>
    <w:rsid w:val="1DBE097F"/>
    <w:rsid w:val="25D52582"/>
    <w:rsid w:val="2FEC597D"/>
    <w:rsid w:val="30483666"/>
    <w:rsid w:val="32715B68"/>
    <w:rsid w:val="32CC274A"/>
    <w:rsid w:val="358A55F1"/>
    <w:rsid w:val="36C4095C"/>
    <w:rsid w:val="381551E7"/>
    <w:rsid w:val="384D5BC2"/>
    <w:rsid w:val="3942048F"/>
    <w:rsid w:val="395568E7"/>
    <w:rsid w:val="3AE72E6B"/>
    <w:rsid w:val="3B08036D"/>
    <w:rsid w:val="3D913F1E"/>
    <w:rsid w:val="3F762A0F"/>
    <w:rsid w:val="3FA54014"/>
    <w:rsid w:val="427E2307"/>
    <w:rsid w:val="448636F5"/>
    <w:rsid w:val="46AA1177"/>
    <w:rsid w:val="4783216D"/>
    <w:rsid w:val="49DD3F29"/>
    <w:rsid w:val="4A7154CF"/>
    <w:rsid w:val="4A987E46"/>
    <w:rsid w:val="4E0D2791"/>
    <w:rsid w:val="4F6E725F"/>
    <w:rsid w:val="51A40A27"/>
    <w:rsid w:val="53FE500A"/>
    <w:rsid w:val="545021E6"/>
    <w:rsid w:val="54556C40"/>
    <w:rsid w:val="547A66A6"/>
    <w:rsid w:val="57607808"/>
    <w:rsid w:val="5A637F59"/>
    <w:rsid w:val="5C175D70"/>
    <w:rsid w:val="5CCE2EB7"/>
    <w:rsid w:val="5D972DE5"/>
    <w:rsid w:val="61BF1B9C"/>
    <w:rsid w:val="63C14A6C"/>
    <w:rsid w:val="656E5DB3"/>
    <w:rsid w:val="686367F5"/>
    <w:rsid w:val="6CE772FF"/>
    <w:rsid w:val="6D942838"/>
    <w:rsid w:val="6EF56BFD"/>
    <w:rsid w:val="6F2F0361"/>
    <w:rsid w:val="715A7D41"/>
    <w:rsid w:val="73522870"/>
    <w:rsid w:val="73791BFC"/>
    <w:rsid w:val="757A19D4"/>
    <w:rsid w:val="760836BA"/>
    <w:rsid w:val="774E15A1"/>
    <w:rsid w:val="777E7211"/>
    <w:rsid w:val="793E14D3"/>
    <w:rsid w:val="7AE2272C"/>
    <w:rsid w:val="7AFA01E5"/>
    <w:rsid w:val="7D5B4A17"/>
    <w:rsid w:val="7FF61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next w:val="1"/>
    <w:unhideWhenUsed/>
    <w:qFormat/>
    <w:uiPriority w:val="9"/>
    <w:pPr>
      <w:widowControl w:val="0"/>
      <w:spacing w:beforeAutospacing="1" w:afterAutospacing="1"/>
      <w:outlineLvl w:val="2"/>
    </w:pPr>
    <w:rPr>
      <w:rFonts w:hint="eastAsia" w:ascii="宋体" w:hAnsi="宋体" w:eastAsia="宋体" w:cs="Times New Roman"/>
      <w:sz w:val="18"/>
      <w:szCs w:val="18"/>
      <w:lang w:val="en-US" w:eastAsia="zh-CN" w:bidi="ar-SA"/>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w:basedOn w:val="1"/>
    <w:qFormat/>
    <w:uiPriority w:val="1"/>
    <w:rPr>
      <w:rFonts w:ascii="宋体" w:hAnsi="宋体" w:cs="宋体"/>
      <w:sz w:val="32"/>
      <w:szCs w:val="32"/>
    </w:rPr>
  </w:style>
  <w:style w:type="paragraph" w:styleId="4">
    <w:name w:val="Balloon Text"/>
    <w:basedOn w:val="1"/>
    <w:link w:val="14"/>
    <w:semiHidden/>
    <w:unhideWhenUsed/>
    <w:qFormat/>
    <w:uiPriority w:val="99"/>
    <w:rPr>
      <w:sz w:val="18"/>
      <w:szCs w:val="18"/>
    </w:rPr>
  </w:style>
  <w:style w:type="paragraph" w:styleId="5">
    <w:name w:val="footer"/>
    <w:basedOn w:val="1"/>
    <w:next w:val="1"/>
    <w:link w:val="12"/>
    <w:semiHidden/>
    <w:unhideWhenUsed/>
    <w:qFormat/>
    <w:uiPriority w:val="99"/>
    <w:pPr>
      <w:tabs>
        <w:tab w:val="center" w:pos="4153"/>
        <w:tab w:val="right" w:pos="8306"/>
      </w:tabs>
      <w:snapToGrid w:val="0"/>
      <w:jc w:val="left"/>
    </w:pPr>
    <w:rPr>
      <w:sz w:val="18"/>
      <w:szCs w:val="18"/>
    </w:rPr>
  </w:style>
  <w:style w:type="paragraph" w:styleId="6">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spacing w:beforeAutospacing="1" w:afterAutospacing="1"/>
      <w:jc w:val="left"/>
    </w:pPr>
    <w:rPr>
      <w:kern w:val="0"/>
      <w:sz w:val="24"/>
    </w:rPr>
  </w:style>
  <w:style w:type="character" w:styleId="9">
    <w:name w:val="Strong"/>
    <w:basedOn w:val="8"/>
    <w:qFormat/>
    <w:uiPriority w:val="22"/>
    <w:rPr>
      <w:b/>
    </w:rPr>
  </w:style>
  <w:style w:type="character" w:customStyle="1" w:styleId="11">
    <w:name w:val="页眉 Char"/>
    <w:basedOn w:val="8"/>
    <w:link w:val="6"/>
    <w:semiHidden/>
    <w:qFormat/>
    <w:uiPriority w:val="99"/>
    <w:rPr>
      <w:sz w:val="18"/>
      <w:szCs w:val="18"/>
    </w:rPr>
  </w:style>
  <w:style w:type="character" w:customStyle="1" w:styleId="12">
    <w:name w:val="页脚 Char"/>
    <w:basedOn w:val="8"/>
    <w:link w:val="5"/>
    <w:semiHidden/>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批注框文本 Char"/>
    <w:basedOn w:val="8"/>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2"/>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chongming.com</Company>
  <Pages>6</Pages>
  <Words>483</Words>
  <Characters>2754</Characters>
  <Lines>22</Lines>
  <Paragraphs>6</Paragraphs>
  <TotalTime>0</TotalTime>
  <ScaleCrop>false</ScaleCrop>
  <LinksUpToDate>false</LinksUpToDate>
  <CharactersWithSpaces>3231</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2022-05-10T08:53:00Z</dcterms:created>
  <dc:creator>CMSCJ</dc:creator>
  <cp:lastModifiedBy>无态度先生</cp:lastModifiedBy>
  <cp:lastPrinted>2022-05-11T05:41:56Z</cp:lastPrinted>
  <dcterms:modified xsi:type="dcterms:W3CDTF">2022-05-11T05:42:46Z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F616389CE363483AA1753D0BA7E72188</vt:lpwstr>
  </property>
</Properties>
</file>