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方正小标宋简体" w:hAnsi="宋体" w:eastAsia="方正小标宋简体"/>
          <w:kern w:val="0"/>
          <w:sz w:val="40"/>
          <w:szCs w:val="40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bCs w:val="0"/>
          <w:sz w:val="32"/>
          <w:szCs w:val="40"/>
          <w:lang w:val="en-US" w:eastAsia="zh-Hans"/>
        </w:rPr>
        <w:t>附件</w:t>
      </w:r>
      <w:r>
        <w:rPr>
          <w:rFonts w:hint="eastAsia" w:ascii="黑体" w:hAnsi="黑体" w:eastAsia="黑体" w:cs="黑体"/>
          <w:b w:val="0"/>
          <w:bCs w:val="0"/>
          <w:sz w:val="32"/>
          <w:szCs w:val="40"/>
          <w:lang w:val="en-US" w:eastAsia="zh-CN"/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 w:ascii="方正小标宋简体" w:hAnsi="宋体" w:eastAsia="方正小标宋简体"/>
          <w:sz w:val="44"/>
          <w:szCs w:val="44"/>
          <w:lang w:val="en-US" w:eastAsia="zh-CN"/>
        </w:rPr>
      </w:pPr>
      <w:r>
        <w:rPr>
          <w:rFonts w:hint="eastAsia" w:ascii="方正小标宋简体" w:hAnsi="宋体" w:eastAsia="方正小标宋简体"/>
          <w:sz w:val="44"/>
          <w:szCs w:val="44"/>
          <w:lang w:val="en-US" w:eastAsia="zh-CN"/>
        </w:rPr>
        <w:t>崇明区质量基础设施“一站式”服务试点项目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 w:ascii="方正小标宋简体" w:hAnsi="宋体" w:eastAsia="方正小标宋简体"/>
          <w:sz w:val="44"/>
          <w:szCs w:val="44"/>
          <w:lang w:val="en-US" w:eastAsia="zh-CN"/>
        </w:rPr>
      </w:pPr>
      <w:r>
        <w:rPr>
          <w:rFonts w:hint="eastAsia" w:ascii="方正小标宋简体" w:hAnsi="宋体" w:eastAsia="方正小标宋简体"/>
          <w:sz w:val="44"/>
          <w:szCs w:val="44"/>
          <w:lang w:val="en-US" w:eastAsia="zh-CN"/>
        </w:rPr>
        <w:t>申报及立项要求</w:t>
      </w:r>
    </w:p>
    <w:p>
      <w:pPr>
        <w:tabs>
          <w:tab w:val="left" w:pos="790"/>
          <w:tab w:val="left" w:pos="1264"/>
        </w:tabs>
        <w:overflowPunct w:val="0"/>
        <w:adjustRightInd w:val="0"/>
        <w:snapToGrid w:val="0"/>
        <w:spacing w:line="336" w:lineRule="auto"/>
        <w:ind w:firstLine="624"/>
        <w:rPr>
          <w:rFonts w:hint="eastAsia" w:ascii="楷体_GB2312" w:hAnsi="楷体_GB2312" w:eastAsia="楷体_GB2312" w:cs="楷体_GB2312"/>
          <w:szCs w:val="30"/>
          <w:lang w:val="en-US" w:eastAsia="zh-CN"/>
        </w:rPr>
      </w:pPr>
      <w:r>
        <w:rPr>
          <w:rFonts w:hint="eastAsia" w:ascii="楷体_GB2312" w:hAnsi="楷体_GB2312" w:eastAsia="楷体_GB2312" w:cs="楷体_GB2312"/>
          <w:szCs w:val="30"/>
          <w:lang w:val="en-US" w:eastAsia="zh-CN"/>
        </w:rPr>
        <w:t>1、组织申报</w:t>
      </w:r>
    </w:p>
    <w:p>
      <w:pPr>
        <w:tabs>
          <w:tab w:val="left" w:pos="790"/>
          <w:tab w:val="left" w:pos="1264"/>
        </w:tabs>
        <w:overflowPunct w:val="0"/>
        <w:adjustRightInd w:val="0"/>
        <w:snapToGrid w:val="0"/>
        <w:spacing w:line="336" w:lineRule="auto"/>
        <w:ind w:firstLine="624"/>
        <w:rPr>
          <w:rFonts w:hint="default" w:hAnsi="宋体"/>
          <w:szCs w:val="30"/>
          <w:lang w:val="en-US" w:eastAsia="zh-CN"/>
        </w:rPr>
      </w:pPr>
      <w:r>
        <w:rPr>
          <w:rFonts w:hint="eastAsia" w:hAnsi="宋体"/>
          <w:szCs w:val="30"/>
          <w:lang w:val="en-US" w:eastAsia="zh-CN"/>
        </w:rPr>
        <w:t>一般每年申报一次。一季度，由区市场监管局发布“一站式”服务试点创建通知，各有关单位按照通知要求，在本辖区范围开展动员发动，鼓励企业、园区积极申报（申报表见附件2）。</w:t>
      </w:r>
    </w:p>
    <w:p>
      <w:pPr>
        <w:tabs>
          <w:tab w:val="left" w:pos="790"/>
          <w:tab w:val="left" w:pos="1264"/>
        </w:tabs>
        <w:overflowPunct w:val="0"/>
        <w:adjustRightInd w:val="0"/>
        <w:snapToGrid w:val="0"/>
        <w:spacing w:line="336" w:lineRule="auto"/>
        <w:ind w:firstLine="624"/>
        <w:rPr>
          <w:rFonts w:hint="eastAsia" w:ascii="楷体_GB2312" w:hAnsi="楷体_GB2312" w:eastAsia="楷体_GB2312" w:cs="楷体_GB2312"/>
          <w:szCs w:val="30"/>
          <w:lang w:val="en-US" w:eastAsia="zh-CN"/>
        </w:rPr>
      </w:pPr>
      <w:r>
        <w:rPr>
          <w:rFonts w:hint="eastAsia" w:ascii="楷体_GB2312" w:hAnsi="楷体_GB2312" w:eastAsia="楷体_GB2312" w:cs="楷体_GB2312"/>
          <w:szCs w:val="30"/>
          <w:lang w:val="en-US" w:eastAsia="zh-CN"/>
        </w:rPr>
        <w:t>2、审批立项</w:t>
      </w:r>
    </w:p>
    <w:p>
      <w:pPr>
        <w:tabs>
          <w:tab w:val="left" w:pos="790"/>
          <w:tab w:val="left" w:pos="1264"/>
        </w:tabs>
        <w:overflowPunct w:val="0"/>
        <w:adjustRightInd w:val="0"/>
        <w:snapToGrid w:val="0"/>
        <w:spacing w:line="336" w:lineRule="auto"/>
        <w:ind w:firstLine="624"/>
        <w:rPr>
          <w:rFonts w:hint="eastAsia" w:hAnsi="宋体"/>
          <w:szCs w:val="30"/>
          <w:lang w:val="en-US" w:eastAsia="zh-CN"/>
        </w:rPr>
      </w:pPr>
      <w:r>
        <w:rPr>
          <w:rFonts w:hint="eastAsia" w:hAnsi="宋体"/>
          <w:szCs w:val="30"/>
          <w:lang w:val="en-US" w:eastAsia="zh-CN"/>
        </w:rPr>
        <w:t>区市场监管局邀请第三方组成专家组，对各申报单位的申报材料进行审核（必要时进行现场审核）。根据申报单位情况、产业链情况等做出综合评价，按照打分高低，确定不超过两个单位为区级质量基础设施“一站式”服务试点项目。</w:t>
      </w:r>
    </w:p>
    <w:p>
      <w:pPr>
        <w:tabs>
          <w:tab w:val="left" w:pos="790"/>
          <w:tab w:val="left" w:pos="1264"/>
        </w:tabs>
        <w:overflowPunct w:val="0"/>
        <w:adjustRightInd w:val="0"/>
        <w:snapToGrid w:val="0"/>
        <w:spacing w:line="336" w:lineRule="auto"/>
        <w:ind w:firstLine="624"/>
        <w:rPr>
          <w:rFonts w:hint="eastAsia"/>
          <w:lang w:val="en-US" w:eastAsia="zh-CN"/>
        </w:rPr>
      </w:pPr>
      <w:r>
        <w:rPr>
          <w:rFonts w:hint="eastAsia" w:ascii="楷体_GB2312" w:hAnsi="楷体_GB2312" w:eastAsia="楷体_GB2312" w:cs="楷体_GB2312"/>
          <w:szCs w:val="30"/>
          <w:lang w:val="en-US" w:eastAsia="zh-CN"/>
        </w:rPr>
        <w:t>3、试点运行</w:t>
      </w:r>
    </w:p>
    <w:p>
      <w:pPr>
        <w:tabs>
          <w:tab w:val="left" w:pos="790"/>
          <w:tab w:val="left" w:pos="1264"/>
        </w:tabs>
        <w:overflowPunct w:val="0"/>
        <w:adjustRightInd w:val="0"/>
        <w:snapToGrid w:val="0"/>
        <w:spacing w:line="336" w:lineRule="auto"/>
        <w:ind w:firstLine="624"/>
        <w:rPr>
          <w:rFonts w:hint="eastAsia" w:hAnsi="宋体"/>
          <w:szCs w:val="30"/>
          <w:lang w:val="en-US" w:eastAsia="zh-CN"/>
        </w:rPr>
      </w:pPr>
      <w:r>
        <w:rPr>
          <w:rFonts w:hint="eastAsia" w:hAnsi="宋体"/>
          <w:szCs w:val="30"/>
          <w:lang w:val="en-US" w:eastAsia="zh-CN"/>
        </w:rPr>
        <w:t>项目立项后，各试点单位按照申报的服务内容和目标，参照《质量基础设施“一站式”服务项目评价得分表》，开展试点服务，推动本区企业整体质量水平提升。</w:t>
      </w:r>
    </w:p>
    <w:p>
      <w:pPr>
        <w:tabs>
          <w:tab w:val="left" w:pos="790"/>
          <w:tab w:val="left" w:pos="1264"/>
        </w:tabs>
        <w:overflowPunct w:val="0"/>
        <w:adjustRightInd w:val="0"/>
        <w:snapToGrid w:val="0"/>
        <w:spacing w:line="336" w:lineRule="auto"/>
        <w:ind w:firstLine="624"/>
        <w:rPr>
          <w:rFonts w:hint="eastAsia" w:ascii="楷体_GB2312" w:hAnsi="楷体_GB2312" w:eastAsia="楷体_GB2312" w:cs="楷体_GB2312"/>
          <w:szCs w:val="30"/>
          <w:lang w:val="en-US" w:eastAsia="zh-CN"/>
        </w:rPr>
      </w:pPr>
      <w:r>
        <w:rPr>
          <w:rFonts w:hint="eastAsia" w:ascii="楷体_GB2312" w:hAnsi="楷体_GB2312" w:eastAsia="楷体_GB2312" w:cs="楷体_GB2312"/>
          <w:szCs w:val="30"/>
          <w:lang w:val="en-US" w:eastAsia="zh-CN"/>
        </w:rPr>
        <w:t>4、服务评价</w:t>
      </w:r>
    </w:p>
    <w:p>
      <w:pPr>
        <w:tabs>
          <w:tab w:val="left" w:pos="790"/>
          <w:tab w:val="left" w:pos="1264"/>
        </w:tabs>
        <w:overflowPunct w:val="0"/>
        <w:adjustRightInd w:val="0"/>
        <w:snapToGrid w:val="0"/>
        <w:spacing w:line="336" w:lineRule="auto"/>
        <w:ind w:firstLine="624"/>
        <w:rPr>
          <w:rFonts w:hint="eastAsia" w:hAnsi="宋体"/>
          <w:szCs w:val="30"/>
          <w:lang w:val="en-US" w:eastAsia="zh-CN"/>
        </w:rPr>
      </w:pPr>
      <w:r>
        <w:rPr>
          <w:rFonts w:hint="eastAsia" w:hAnsi="宋体"/>
          <w:szCs w:val="30"/>
          <w:lang w:val="en-US" w:eastAsia="zh-CN"/>
        </w:rPr>
        <w:t>试点立项一年后（可以提前申请），按照本细则第六条实施。</w:t>
      </w:r>
    </w:p>
    <w:p>
      <w:pPr>
        <w:pStyle w:val="2"/>
        <w:numPr>
          <w:ilvl w:val="1"/>
          <w:numId w:val="0"/>
        </w:numPr>
        <w:ind w:leftChars="0"/>
        <w:rPr>
          <w:rFonts w:hint="eastAsia"/>
          <w:lang w:val="en-US" w:eastAsia="zh-CN"/>
        </w:rPr>
      </w:pPr>
    </w:p>
    <w:p>
      <w:pPr>
        <w:rPr>
          <w:rFonts w:hint="eastAsia" w:hAnsi="宋体"/>
          <w:szCs w:val="30"/>
          <w:lang w:val="en-US" w:eastAsia="zh-CN"/>
        </w:rPr>
      </w:pPr>
    </w:p>
    <w:p>
      <w:pPr>
        <w:pStyle w:val="2"/>
        <w:numPr>
          <w:ilvl w:val="1"/>
          <w:numId w:val="0"/>
        </w:numPr>
        <w:ind w:leftChars="0"/>
        <w:rPr>
          <w:rFonts w:hint="eastAsia"/>
          <w:lang w:val="en-US" w:eastAsia="zh-CN"/>
        </w:rPr>
      </w:pPr>
    </w:p>
    <w:p>
      <w:pPr>
        <w:rPr>
          <w:rFonts w:hint="eastAsia" w:ascii="黑体" w:hAnsi="黑体" w:eastAsia="黑体" w:cs="黑体"/>
          <w:b w:val="0"/>
          <w:bCs w:val="0"/>
          <w:sz w:val="32"/>
          <w:szCs w:val="40"/>
          <w:lang w:val="en-US" w:eastAsia="zh-Hans"/>
        </w:rPr>
      </w:pPr>
    </w:p>
    <w:p>
      <w:pPr>
        <w:rPr>
          <w:rFonts w:hint="eastAsia" w:ascii="黑体" w:hAnsi="黑体" w:eastAsia="黑体" w:cs="黑体"/>
          <w:b w:val="0"/>
          <w:bCs w:val="0"/>
          <w:sz w:val="32"/>
          <w:szCs w:val="40"/>
          <w:lang w:val="en-US" w:eastAsia="zh-Hans"/>
        </w:rPr>
      </w:pPr>
    </w:p>
    <w:p>
      <w:pPr>
        <w:rPr>
          <w:rFonts w:hint="eastAsia" w:ascii="黑体" w:hAnsi="黑体" w:eastAsia="黑体" w:cs="黑体"/>
          <w:b w:val="0"/>
          <w:bCs w:val="0"/>
          <w:sz w:val="32"/>
          <w:szCs w:val="40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40"/>
          <w:lang w:val="en-US" w:eastAsia="zh-Hans"/>
        </w:rPr>
        <w:t>附件</w:t>
      </w:r>
      <w:r>
        <w:rPr>
          <w:rFonts w:hint="eastAsia" w:ascii="黑体" w:hAnsi="黑体" w:eastAsia="黑体" w:cs="黑体"/>
          <w:b w:val="0"/>
          <w:bCs w:val="0"/>
          <w:sz w:val="32"/>
          <w:szCs w:val="40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tabs>
          <w:tab w:val="left" w:pos="790"/>
        </w:tabs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before="157" w:beforeLines="50"/>
        <w:jc w:val="center"/>
        <w:textAlignment w:val="auto"/>
        <w:rPr>
          <w:rFonts w:hint="eastAsia" w:ascii="方正小标宋简体" w:hAnsi="宋体" w:eastAsia="方正小标宋简体"/>
          <w:kern w:val="0"/>
          <w:sz w:val="40"/>
          <w:szCs w:val="40"/>
        </w:rPr>
      </w:pPr>
      <w:r>
        <w:rPr>
          <w:rFonts w:hint="eastAsia" w:ascii="方正小标宋简体" w:hAnsi="宋体" w:eastAsia="方正小标宋简体"/>
          <w:kern w:val="0"/>
          <w:sz w:val="40"/>
          <w:szCs w:val="40"/>
          <w:lang w:val="en-US" w:eastAsia="zh-CN"/>
        </w:rPr>
        <w:t>2024年崇明区</w:t>
      </w:r>
      <w:r>
        <w:rPr>
          <w:rFonts w:hint="eastAsia" w:ascii="方正小标宋简体" w:hAnsi="宋体" w:eastAsia="方正小标宋简体"/>
          <w:kern w:val="0"/>
          <w:sz w:val="40"/>
          <w:szCs w:val="40"/>
        </w:rPr>
        <w:t>质量基础设施“一站式”服务</w:t>
      </w:r>
    </w:p>
    <w:p>
      <w:pPr>
        <w:tabs>
          <w:tab w:val="left" w:pos="790"/>
        </w:tabs>
        <w:overflowPunct w:val="0"/>
        <w:adjustRightInd w:val="0"/>
        <w:snapToGrid w:val="0"/>
        <w:jc w:val="center"/>
        <w:rPr>
          <w:rFonts w:hint="eastAsia" w:ascii="方正小标宋简体" w:hAnsi="宋体" w:eastAsia="方正小标宋简体"/>
          <w:kern w:val="0"/>
          <w:sz w:val="40"/>
          <w:szCs w:val="40"/>
        </w:rPr>
      </w:pPr>
      <w:r>
        <w:rPr>
          <w:rFonts w:hint="eastAsia" w:ascii="方正小标宋简体" w:hAnsi="宋体" w:eastAsia="方正小标宋简体"/>
          <w:kern w:val="0"/>
          <w:sz w:val="40"/>
          <w:szCs w:val="40"/>
        </w:rPr>
        <w:t>试点</w:t>
      </w:r>
      <w:r>
        <w:rPr>
          <w:rFonts w:hint="eastAsia" w:ascii="方正小标宋简体" w:hAnsi="宋体" w:eastAsia="方正小标宋简体"/>
          <w:kern w:val="0"/>
          <w:sz w:val="40"/>
          <w:szCs w:val="40"/>
          <w:lang w:eastAsia="zh-CN"/>
        </w:rPr>
        <w:t>项目</w:t>
      </w:r>
      <w:r>
        <w:rPr>
          <w:rFonts w:hint="eastAsia" w:ascii="方正小标宋简体" w:hAnsi="宋体" w:eastAsia="方正小标宋简体"/>
          <w:kern w:val="0"/>
          <w:sz w:val="40"/>
          <w:szCs w:val="40"/>
        </w:rPr>
        <w:t>申报表</w:t>
      </w:r>
    </w:p>
    <w:tbl>
      <w:tblPr>
        <w:tblStyle w:val="4"/>
        <w:tblW w:w="884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1"/>
        <w:gridCol w:w="2128"/>
        <w:gridCol w:w="1274"/>
        <w:gridCol w:w="37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6" w:hRule="atLeast"/>
          <w:jc w:val="center"/>
        </w:trPr>
        <w:tc>
          <w:tcPr>
            <w:tcW w:w="1701" w:type="dxa"/>
            <w:noWrap w:val="0"/>
            <w:vAlign w:val="center"/>
          </w:tcPr>
          <w:p>
            <w:pPr>
              <w:overflowPunct w:val="0"/>
              <w:adjustRightInd w:val="0"/>
              <w:snapToGrid w:val="0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申报试点名称</w:t>
            </w:r>
          </w:p>
        </w:tc>
        <w:tc>
          <w:tcPr>
            <w:tcW w:w="7144" w:type="dxa"/>
            <w:gridSpan w:val="3"/>
            <w:noWrap w:val="0"/>
            <w:vAlign w:val="center"/>
          </w:tcPr>
          <w:p>
            <w:pPr>
              <w:overflowPunct w:val="0"/>
              <w:adjustRightInd w:val="0"/>
              <w:snapToGrid w:val="0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崇明</w:t>
            </w:r>
            <w:r>
              <w:rPr>
                <w:rFonts w:hint="eastAsia"/>
                <w:kern w:val="0"/>
                <w:sz w:val="24"/>
                <w:szCs w:val="24"/>
              </w:rPr>
              <w:t>区××产业质量基础设施“一站式”服务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1" w:hRule="atLeast"/>
          <w:jc w:val="center"/>
        </w:trPr>
        <w:tc>
          <w:tcPr>
            <w:tcW w:w="1701" w:type="dxa"/>
            <w:noWrap w:val="0"/>
            <w:vAlign w:val="center"/>
          </w:tcPr>
          <w:p>
            <w:pPr>
              <w:overflowPunct w:val="0"/>
              <w:adjustRightInd w:val="0"/>
              <w:snapToGrid w:val="0"/>
              <w:jc w:val="center"/>
              <w:rPr>
                <w:rFonts w:hint="eastAsia"/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试点实施单位</w:t>
            </w:r>
          </w:p>
        </w:tc>
        <w:tc>
          <w:tcPr>
            <w:tcW w:w="7144" w:type="dxa"/>
            <w:gridSpan w:val="3"/>
            <w:noWrap w:val="0"/>
            <w:vAlign w:val="center"/>
          </w:tcPr>
          <w:p>
            <w:pPr>
              <w:overflowPunct w:val="0"/>
              <w:adjustRightInd w:val="0"/>
              <w:snapToGrid w:val="0"/>
              <w:jc w:val="center"/>
              <w:rPr>
                <w:rFonts w:hint="eastAsia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34" w:hRule="atLeast"/>
          <w:jc w:val="center"/>
        </w:trPr>
        <w:tc>
          <w:tcPr>
            <w:tcW w:w="1701" w:type="dxa"/>
            <w:noWrap w:val="0"/>
            <w:vAlign w:val="center"/>
          </w:tcPr>
          <w:p>
            <w:pPr>
              <w:overflowPunct w:val="0"/>
              <w:adjustRightInd w:val="0"/>
              <w:snapToGrid w:val="0"/>
              <w:jc w:val="center"/>
              <w:rPr>
                <w:rFonts w:hint="eastAsia" w:eastAsia="仿宋_GB2312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试点实施单位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基本情况</w:t>
            </w:r>
          </w:p>
        </w:tc>
        <w:tc>
          <w:tcPr>
            <w:tcW w:w="7144" w:type="dxa"/>
            <w:gridSpan w:val="3"/>
            <w:noWrap w:val="0"/>
            <w:vAlign w:val="top"/>
          </w:tcPr>
          <w:p>
            <w:pPr>
              <w:overflowPunct w:val="0"/>
              <w:adjustRightInd w:val="0"/>
              <w:snapToGrid w:val="0"/>
              <w:jc w:val="both"/>
              <w:rPr>
                <w:rFonts w:hint="eastAsia" w:eastAsia="仿宋_GB2312"/>
                <w:kern w:val="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701" w:type="dxa"/>
            <w:noWrap w:val="0"/>
            <w:vAlign w:val="center"/>
          </w:tcPr>
          <w:p>
            <w:pPr>
              <w:overflowPunct w:val="0"/>
              <w:adjustRightInd w:val="0"/>
              <w:snapToGrid w:val="0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服务的产业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/>
                <w:kern w:val="0"/>
                <w:sz w:val="24"/>
                <w:szCs w:val="24"/>
              </w:rPr>
              <w:t>产业链）</w:t>
            </w:r>
          </w:p>
        </w:tc>
        <w:tc>
          <w:tcPr>
            <w:tcW w:w="7144" w:type="dxa"/>
            <w:gridSpan w:val="3"/>
            <w:noWrap w:val="0"/>
            <w:vAlign w:val="center"/>
          </w:tcPr>
          <w:p>
            <w:pPr>
              <w:overflowPunct w:val="0"/>
              <w:adjustRightInd w:val="0"/>
              <w:snapToGrid w:val="0"/>
              <w:jc w:val="center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98" w:hRule="atLeast"/>
          <w:jc w:val="center"/>
        </w:trPr>
        <w:tc>
          <w:tcPr>
            <w:tcW w:w="1701" w:type="dxa"/>
            <w:noWrap w:val="0"/>
            <w:vAlign w:val="center"/>
          </w:tcPr>
          <w:p>
            <w:pPr>
              <w:overflowPunct w:val="0"/>
              <w:adjustRightInd w:val="0"/>
              <w:snapToGrid w:val="0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服务的产业产业链）总体情况描述</w:t>
            </w:r>
          </w:p>
        </w:tc>
        <w:tc>
          <w:tcPr>
            <w:tcW w:w="7144" w:type="dxa"/>
            <w:gridSpan w:val="3"/>
            <w:noWrap w:val="0"/>
            <w:vAlign w:val="top"/>
          </w:tcPr>
          <w:p>
            <w:pPr>
              <w:overflowPunct w:val="0"/>
              <w:adjustRightInd w:val="0"/>
              <w:snapToGrid w:val="0"/>
              <w:jc w:val="both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83" w:hRule="atLeast"/>
          <w:jc w:val="center"/>
        </w:trPr>
        <w:tc>
          <w:tcPr>
            <w:tcW w:w="1701" w:type="dxa"/>
            <w:noWrap w:val="0"/>
            <w:vAlign w:val="center"/>
          </w:tcPr>
          <w:p>
            <w:pPr>
              <w:overflowPunct w:val="0"/>
              <w:adjustRightInd w:val="0"/>
              <w:snapToGrid w:val="0"/>
              <w:jc w:val="center"/>
              <w:rPr>
                <w:rFonts w:hint="eastAsia"/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企业（产业）</w:t>
            </w:r>
          </w:p>
          <w:p>
            <w:pPr>
              <w:overflowPunct w:val="0"/>
              <w:adjustRightInd w:val="0"/>
              <w:snapToGrid w:val="0"/>
              <w:jc w:val="center"/>
              <w:rPr>
                <w:rFonts w:hint="eastAsia"/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质量服务</w:t>
            </w:r>
            <w:r>
              <w:rPr>
                <w:kern w:val="0"/>
                <w:sz w:val="24"/>
                <w:szCs w:val="24"/>
              </w:rPr>
              <w:t>需求</w:t>
            </w:r>
          </w:p>
          <w:p>
            <w:pPr>
              <w:overflowPunct w:val="0"/>
              <w:adjustRightInd w:val="0"/>
              <w:snapToGrid w:val="0"/>
              <w:jc w:val="center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描述</w:t>
            </w:r>
          </w:p>
        </w:tc>
        <w:tc>
          <w:tcPr>
            <w:tcW w:w="7144" w:type="dxa"/>
            <w:gridSpan w:val="3"/>
            <w:noWrap w:val="0"/>
            <w:vAlign w:val="top"/>
          </w:tcPr>
          <w:p>
            <w:pPr>
              <w:overflowPunct w:val="0"/>
              <w:adjustRightInd w:val="0"/>
              <w:snapToGrid w:val="0"/>
              <w:jc w:val="both"/>
              <w:rPr>
                <w:rFonts w:ascii="仿宋_GB2312" w:hAnsi="仿宋_GB2312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95" w:hRule="atLeast"/>
          <w:jc w:val="center"/>
        </w:trPr>
        <w:tc>
          <w:tcPr>
            <w:tcW w:w="1701" w:type="dxa"/>
            <w:noWrap w:val="0"/>
            <w:vAlign w:val="center"/>
          </w:tcPr>
          <w:p>
            <w:pPr>
              <w:overflowPunct w:val="0"/>
              <w:adjustRightInd w:val="0"/>
              <w:snapToGrid w:val="0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开展</w:t>
            </w:r>
            <w:r>
              <w:rPr>
                <w:kern w:val="0"/>
                <w:sz w:val="24"/>
                <w:szCs w:val="24"/>
              </w:rPr>
              <w:t>的重点</w:t>
            </w:r>
          </w:p>
          <w:p>
            <w:pPr>
              <w:overflowPunct w:val="0"/>
              <w:adjustRightInd w:val="0"/>
              <w:snapToGrid w:val="0"/>
              <w:jc w:val="center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服务事项</w:t>
            </w:r>
          </w:p>
        </w:tc>
        <w:tc>
          <w:tcPr>
            <w:tcW w:w="7144" w:type="dxa"/>
            <w:gridSpan w:val="3"/>
            <w:noWrap w:val="0"/>
            <w:vAlign w:val="center"/>
          </w:tcPr>
          <w:p>
            <w:pPr>
              <w:overflowPunct w:val="0"/>
              <w:adjustRightInd w:val="0"/>
              <w:snapToGrid w:val="0"/>
              <w:jc w:val="center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95" w:hRule="atLeast"/>
          <w:jc w:val="center"/>
        </w:trPr>
        <w:tc>
          <w:tcPr>
            <w:tcW w:w="1701" w:type="dxa"/>
            <w:noWrap w:val="0"/>
            <w:vAlign w:val="center"/>
          </w:tcPr>
          <w:p>
            <w:pPr>
              <w:overflowPunct w:val="0"/>
              <w:adjustRightInd w:val="0"/>
              <w:snapToGrid w:val="0"/>
              <w:jc w:val="center"/>
              <w:rPr>
                <w:rFonts w:hint="eastAsia"/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试点工作目标</w:t>
            </w:r>
          </w:p>
          <w:p>
            <w:pPr>
              <w:overflowPunct w:val="0"/>
              <w:adjustRightInd w:val="0"/>
              <w:snapToGrid w:val="0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及预期成果</w:t>
            </w:r>
          </w:p>
        </w:tc>
        <w:tc>
          <w:tcPr>
            <w:tcW w:w="7144" w:type="dxa"/>
            <w:gridSpan w:val="3"/>
            <w:noWrap w:val="0"/>
            <w:vAlign w:val="top"/>
          </w:tcPr>
          <w:p>
            <w:pPr>
              <w:overflowPunct w:val="0"/>
              <w:adjustRightInd w:val="0"/>
              <w:snapToGrid w:val="0"/>
              <w:jc w:val="both"/>
              <w:rPr>
                <w:rFonts w:hint="eastAsia" w:eastAsia="仿宋_GB2312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（预计至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2024年年底，取得的成果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70" w:hRule="atLeast"/>
          <w:jc w:val="center"/>
        </w:trPr>
        <w:tc>
          <w:tcPr>
            <w:tcW w:w="1701" w:type="dxa"/>
            <w:noWrap w:val="0"/>
            <w:vAlign w:val="center"/>
          </w:tcPr>
          <w:p>
            <w:pPr>
              <w:overflowPunct w:val="0"/>
              <w:adjustRightInd w:val="0"/>
              <w:snapToGrid w:val="0"/>
              <w:jc w:val="center"/>
              <w:rPr>
                <w:rFonts w:hint="eastAsia"/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试点主要服务</w:t>
            </w:r>
          </w:p>
          <w:p>
            <w:pPr>
              <w:overflowPunct w:val="0"/>
              <w:adjustRightInd w:val="0"/>
              <w:snapToGrid w:val="0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模式</w:t>
            </w:r>
          </w:p>
        </w:tc>
        <w:tc>
          <w:tcPr>
            <w:tcW w:w="7144" w:type="dxa"/>
            <w:gridSpan w:val="3"/>
            <w:noWrap w:val="0"/>
            <w:vAlign w:val="top"/>
          </w:tcPr>
          <w:p>
            <w:pPr>
              <w:overflowPunct w:val="0"/>
              <w:adjustRightInd w:val="0"/>
              <w:snapToGrid w:val="0"/>
              <w:jc w:val="both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55" w:hRule="atLeast"/>
          <w:jc w:val="center"/>
        </w:trPr>
        <w:tc>
          <w:tcPr>
            <w:tcW w:w="1701" w:type="dxa"/>
            <w:noWrap w:val="0"/>
            <w:vAlign w:val="center"/>
          </w:tcPr>
          <w:p>
            <w:pPr>
              <w:overflowPunct w:val="0"/>
              <w:adjustRightInd w:val="0"/>
              <w:snapToGrid w:val="0"/>
              <w:jc w:val="center"/>
              <w:rPr>
                <w:rFonts w:hint="eastAsia"/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重点支持</w:t>
            </w:r>
          </w:p>
          <w:p>
            <w:pPr>
              <w:overflowPunct w:val="0"/>
              <w:adjustRightInd w:val="0"/>
              <w:snapToGrid w:val="0"/>
              <w:jc w:val="center"/>
              <w:rPr>
                <w:rFonts w:hint="eastAsia"/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保障措施</w:t>
            </w:r>
          </w:p>
          <w:p>
            <w:pPr>
              <w:overflowPunct w:val="0"/>
              <w:adjustRightInd w:val="0"/>
              <w:snapToGrid w:val="0"/>
              <w:jc w:val="center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（含投入经费、场地设施、专业人员等）</w:t>
            </w:r>
          </w:p>
        </w:tc>
        <w:tc>
          <w:tcPr>
            <w:tcW w:w="7144" w:type="dxa"/>
            <w:gridSpan w:val="3"/>
            <w:noWrap w:val="0"/>
            <w:vAlign w:val="center"/>
          </w:tcPr>
          <w:p>
            <w:pPr>
              <w:overflowPunct w:val="0"/>
              <w:adjustRightInd w:val="0"/>
              <w:snapToGrid w:val="0"/>
              <w:jc w:val="center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81" w:hRule="atLeast"/>
          <w:jc w:val="center"/>
        </w:trPr>
        <w:tc>
          <w:tcPr>
            <w:tcW w:w="1701" w:type="dxa"/>
            <w:noWrap w:val="0"/>
            <w:vAlign w:val="center"/>
          </w:tcPr>
          <w:p>
            <w:pPr>
              <w:overflowPunct w:val="0"/>
              <w:adjustRightInd w:val="0"/>
              <w:snapToGrid w:val="0"/>
              <w:jc w:val="center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试点工作进度</w:t>
            </w:r>
          </w:p>
          <w:p>
            <w:pPr>
              <w:overflowPunct w:val="0"/>
              <w:adjustRightInd w:val="0"/>
              <w:snapToGrid w:val="0"/>
              <w:jc w:val="center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安排</w:t>
            </w:r>
          </w:p>
        </w:tc>
        <w:tc>
          <w:tcPr>
            <w:tcW w:w="7144" w:type="dxa"/>
            <w:gridSpan w:val="3"/>
            <w:noWrap w:val="0"/>
            <w:vAlign w:val="center"/>
          </w:tcPr>
          <w:p>
            <w:pPr>
              <w:overflowPunct w:val="0"/>
              <w:adjustRightInd w:val="0"/>
              <w:snapToGrid w:val="0"/>
              <w:jc w:val="center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1" w:hRule="atLeast"/>
          <w:jc w:val="center"/>
        </w:trPr>
        <w:tc>
          <w:tcPr>
            <w:tcW w:w="1701" w:type="dxa"/>
            <w:noWrap w:val="0"/>
            <w:vAlign w:val="center"/>
          </w:tcPr>
          <w:p>
            <w:pPr>
              <w:overflowPunct w:val="0"/>
              <w:adjustRightInd w:val="0"/>
              <w:snapToGrid w:val="0"/>
              <w:jc w:val="center"/>
              <w:rPr>
                <w:rFonts w:hint="eastAsia"/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试点实施单位</w:t>
            </w:r>
          </w:p>
          <w:p>
            <w:pPr>
              <w:overflowPunct w:val="0"/>
              <w:adjustRightInd w:val="0"/>
              <w:snapToGrid w:val="0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负责人</w:t>
            </w:r>
          </w:p>
        </w:tc>
        <w:tc>
          <w:tcPr>
            <w:tcW w:w="2128" w:type="dxa"/>
            <w:noWrap w:val="0"/>
            <w:vAlign w:val="center"/>
          </w:tcPr>
          <w:p>
            <w:pPr>
              <w:overflowPunct w:val="0"/>
              <w:adjustRightInd w:val="0"/>
              <w:snapToGrid w:val="0"/>
              <w:jc w:val="center"/>
              <w:rPr>
                <w:kern w:val="0"/>
                <w:sz w:val="24"/>
                <w:szCs w:val="24"/>
              </w:rPr>
            </w:pPr>
          </w:p>
        </w:tc>
        <w:tc>
          <w:tcPr>
            <w:tcW w:w="1274" w:type="dxa"/>
            <w:noWrap w:val="0"/>
            <w:vAlign w:val="center"/>
          </w:tcPr>
          <w:p>
            <w:pPr>
              <w:overflowPunct w:val="0"/>
              <w:adjustRightInd w:val="0"/>
              <w:snapToGrid w:val="0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3742" w:type="dxa"/>
            <w:noWrap w:val="0"/>
            <w:vAlign w:val="center"/>
          </w:tcPr>
          <w:p>
            <w:pPr>
              <w:overflowPunct w:val="0"/>
              <w:adjustRightInd w:val="0"/>
              <w:snapToGrid w:val="0"/>
              <w:jc w:val="center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1" w:hRule="atLeast"/>
          <w:jc w:val="center"/>
        </w:trPr>
        <w:tc>
          <w:tcPr>
            <w:tcW w:w="1701" w:type="dxa"/>
            <w:noWrap w:val="0"/>
            <w:vAlign w:val="center"/>
          </w:tcPr>
          <w:p>
            <w:pPr>
              <w:overflowPunct w:val="0"/>
              <w:adjustRightInd w:val="0"/>
              <w:snapToGrid w:val="0"/>
              <w:jc w:val="center"/>
              <w:rPr>
                <w:rFonts w:hint="eastAsia"/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试点实施单位</w:t>
            </w:r>
          </w:p>
          <w:p>
            <w:pPr>
              <w:overflowPunct w:val="0"/>
              <w:adjustRightInd w:val="0"/>
              <w:snapToGrid w:val="0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联系人</w:t>
            </w:r>
          </w:p>
        </w:tc>
        <w:tc>
          <w:tcPr>
            <w:tcW w:w="2128" w:type="dxa"/>
            <w:noWrap w:val="0"/>
            <w:vAlign w:val="center"/>
          </w:tcPr>
          <w:p>
            <w:pPr>
              <w:overflowPunct w:val="0"/>
              <w:adjustRightInd w:val="0"/>
              <w:snapToGrid w:val="0"/>
              <w:jc w:val="center"/>
              <w:rPr>
                <w:rFonts w:hint="eastAsia"/>
                <w:kern w:val="0"/>
                <w:sz w:val="24"/>
                <w:szCs w:val="24"/>
              </w:rPr>
            </w:pPr>
          </w:p>
          <w:p>
            <w:pPr>
              <w:overflowPunct w:val="0"/>
              <w:adjustRightInd w:val="0"/>
              <w:snapToGrid w:val="0"/>
              <w:jc w:val="center"/>
              <w:rPr>
                <w:kern w:val="0"/>
                <w:sz w:val="24"/>
                <w:szCs w:val="24"/>
              </w:rPr>
            </w:pPr>
          </w:p>
        </w:tc>
        <w:tc>
          <w:tcPr>
            <w:tcW w:w="1274" w:type="dxa"/>
            <w:noWrap w:val="0"/>
            <w:vAlign w:val="center"/>
          </w:tcPr>
          <w:p>
            <w:pPr>
              <w:overflowPunct w:val="0"/>
              <w:adjustRightInd w:val="0"/>
              <w:snapToGrid w:val="0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3742" w:type="dxa"/>
            <w:noWrap w:val="0"/>
            <w:vAlign w:val="center"/>
          </w:tcPr>
          <w:p>
            <w:pPr>
              <w:overflowPunct w:val="0"/>
              <w:adjustRightInd w:val="0"/>
              <w:snapToGrid w:val="0"/>
              <w:jc w:val="center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2" w:hRule="atLeast"/>
          <w:jc w:val="center"/>
        </w:trPr>
        <w:tc>
          <w:tcPr>
            <w:tcW w:w="8845" w:type="dxa"/>
            <w:gridSpan w:val="4"/>
            <w:noWrap w:val="0"/>
            <w:vAlign w:val="top"/>
          </w:tcPr>
          <w:p>
            <w:pPr>
              <w:overflowPunct w:val="0"/>
              <w:adjustRightInd w:val="0"/>
              <w:snapToGrid w:val="0"/>
              <w:spacing w:before="120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试点实施单位意见：</w:t>
            </w:r>
          </w:p>
          <w:p>
            <w:pPr>
              <w:overflowPunct w:val="0"/>
              <w:adjustRightInd w:val="0"/>
              <w:snapToGrid w:val="0"/>
              <w:rPr>
                <w:kern w:val="0"/>
                <w:sz w:val="24"/>
                <w:szCs w:val="24"/>
              </w:rPr>
            </w:pPr>
          </w:p>
          <w:p>
            <w:pPr>
              <w:overflowPunct w:val="0"/>
              <w:adjustRightInd w:val="0"/>
              <w:snapToGrid w:val="0"/>
              <w:rPr>
                <w:rFonts w:hint="eastAsia"/>
                <w:kern w:val="0"/>
                <w:sz w:val="24"/>
                <w:szCs w:val="24"/>
              </w:rPr>
            </w:pPr>
          </w:p>
          <w:p>
            <w:pPr>
              <w:overflowPunct w:val="0"/>
              <w:adjustRightInd w:val="0"/>
              <w:snapToGrid w:val="0"/>
              <w:rPr>
                <w:rFonts w:hint="eastAsia"/>
                <w:kern w:val="0"/>
                <w:sz w:val="24"/>
                <w:szCs w:val="24"/>
              </w:rPr>
            </w:pPr>
          </w:p>
          <w:p>
            <w:pPr>
              <w:overflowPunct w:val="0"/>
              <w:adjustRightInd w:val="0"/>
              <w:snapToGrid w:val="0"/>
              <w:rPr>
                <w:rFonts w:hint="eastAsia"/>
                <w:kern w:val="0"/>
                <w:sz w:val="24"/>
                <w:szCs w:val="24"/>
              </w:rPr>
            </w:pPr>
          </w:p>
          <w:p>
            <w:pPr>
              <w:overflowPunct w:val="0"/>
              <w:adjustRightInd w:val="0"/>
              <w:snapToGrid w:val="0"/>
              <w:rPr>
                <w:rFonts w:hint="eastAsia"/>
                <w:kern w:val="0"/>
                <w:sz w:val="24"/>
                <w:szCs w:val="24"/>
              </w:rPr>
            </w:pPr>
          </w:p>
          <w:p>
            <w:pPr>
              <w:overflowPunct w:val="0"/>
              <w:adjustRightInd w:val="0"/>
              <w:snapToGrid w:val="0"/>
              <w:rPr>
                <w:rFonts w:hint="eastAsia"/>
                <w:kern w:val="0"/>
                <w:sz w:val="24"/>
                <w:szCs w:val="24"/>
              </w:rPr>
            </w:pPr>
          </w:p>
          <w:p>
            <w:pPr>
              <w:overflowPunct w:val="0"/>
              <w:adjustRightInd w:val="0"/>
              <w:snapToGrid w:val="0"/>
              <w:rPr>
                <w:kern w:val="0"/>
                <w:sz w:val="24"/>
                <w:szCs w:val="24"/>
              </w:rPr>
            </w:pPr>
          </w:p>
          <w:p>
            <w:pPr>
              <w:overflowPunct w:val="0"/>
              <w:adjustRightInd w:val="0"/>
              <w:snapToGrid w:val="0"/>
              <w:rPr>
                <w:kern w:val="0"/>
                <w:sz w:val="24"/>
                <w:szCs w:val="24"/>
              </w:rPr>
            </w:pPr>
          </w:p>
          <w:p>
            <w:pPr>
              <w:overflowPunct w:val="0"/>
              <w:adjustRightInd w:val="0"/>
              <w:snapToGrid w:val="0"/>
              <w:jc w:val="right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单位盖章       </w:t>
            </w:r>
            <w:r>
              <w:rPr>
                <w:rFonts w:hint="eastAsia"/>
                <w:kern w:val="0"/>
                <w:sz w:val="24"/>
                <w:szCs w:val="24"/>
              </w:rPr>
              <w:t xml:space="preserve">   </w:t>
            </w:r>
            <w:r>
              <w:rPr>
                <w:kern w:val="0"/>
                <w:sz w:val="24"/>
                <w:szCs w:val="24"/>
              </w:rPr>
              <w:t>年   月   日</w:t>
            </w:r>
          </w:p>
        </w:tc>
      </w:tr>
    </w:tbl>
    <w:p>
      <w:pPr>
        <w:tabs>
          <w:tab w:val="left" w:pos="790"/>
          <w:tab w:val="left" w:pos="1264"/>
        </w:tabs>
        <w:overflowPunct w:val="0"/>
        <w:adjustRightInd w:val="0"/>
        <w:snapToGrid w:val="0"/>
        <w:spacing w:line="336" w:lineRule="auto"/>
        <w:ind w:firstLine="624"/>
        <w:rPr>
          <w:rFonts w:hint="eastAsia" w:hAnsi="宋体"/>
          <w:szCs w:val="30"/>
        </w:rPr>
      </w:pPr>
    </w:p>
    <w:p>
      <w:pPr>
        <w:pStyle w:val="2"/>
        <w:numPr>
          <w:ilvl w:val="1"/>
          <w:numId w:val="0"/>
        </w:numPr>
        <w:ind w:leftChars="0"/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 w:ascii="黑体" w:hAnsi="黑体" w:eastAsia="黑体" w:cs="黑体"/>
          <w:b w:val="0"/>
          <w:bCs w:val="0"/>
          <w:sz w:val="32"/>
          <w:szCs w:val="40"/>
          <w:lang w:val="en-US" w:eastAsia="zh-Hans"/>
        </w:rPr>
      </w:pPr>
    </w:p>
    <w:p>
      <w:pPr>
        <w:rPr>
          <w:rFonts w:hint="eastAsia" w:ascii="黑体" w:hAnsi="黑体" w:eastAsia="黑体" w:cs="黑体"/>
          <w:b w:val="0"/>
          <w:bCs w:val="0"/>
          <w:sz w:val="32"/>
          <w:szCs w:val="40"/>
          <w:lang w:val="en-US" w:eastAsia="zh-Hans"/>
        </w:rPr>
      </w:pPr>
    </w:p>
    <w:p>
      <w:pPr>
        <w:rPr>
          <w:rFonts w:hint="eastAsia" w:ascii="黑体" w:hAnsi="黑体" w:eastAsia="黑体" w:cs="黑体"/>
          <w:b w:val="0"/>
          <w:bCs w:val="0"/>
          <w:sz w:val="32"/>
          <w:szCs w:val="40"/>
          <w:lang w:val="en-US" w:eastAsia="zh-Hans"/>
        </w:rPr>
      </w:pPr>
    </w:p>
    <w:p>
      <w:pPr>
        <w:rPr>
          <w:rFonts w:hint="eastAsia" w:ascii="黑体" w:hAnsi="黑体" w:eastAsia="黑体" w:cs="黑体"/>
          <w:b w:val="0"/>
          <w:bCs w:val="0"/>
          <w:sz w:val="32"/>
          <w:szCs w:val="40"/>
          <w:lang w:val="en-US" w:eastAsia="zh-Hans"/>
        </w:rPr>
      </w:pPr>
    </w:p>
    <w:p>
      <w:pPr>
        <w:rPr>
          <w:rFonts w:hint="eastAsia" w:ascii="黑体" w:hAnsi="黑体" w:eastAsia="黑体" w:cs="黑体"/>
          <w:b w:val="0"/>
          <w:bCs w:val="0"/>
          <w:sz w:val="32"/>
          <w:szCs w:val="40"/>
          <w:lang w:val="en-US" w:eastAsia="zh-Hans"/>
        </w:rPr>
      </w:pPr>
    </w:p>
    <w:p>
      <w:pPr>
        <w:rPr>
          <w:rFonts w:hint="eastAsia" w:ascii="黑体" w:hAnsi="黑体" w:eastAsia="黑体" w:cs="黑体"/>
          <w:b w:val="0"/>
          <w:bCs w:val="0"/>
          <w:sz w:val="32"/>
          <w:szCs w:val="40"/>
          <w:lang w:val="en-US" w:eastAsia="zh-Hans"/>
        </w:rPr>
      </w:pPr>
    </w:p>
    <w:p>
      <w:pPr>
        <w:rPr>
          <w:rFonts w:hint="eastAsia" w:ascii="黑体" w:hAnsi="黑体" w:eastAsia="黑体" w:cs="黑体"/>
          <w:b w:val="0"/>
          <w:bCs w:val="0"/>
          <w:sz w:val="32"/>
          <w:szCs w:val="40"/>
          <w:lang w:val="en-US" w:eastAsia="zh-Hans"/>
        </w:rPr>
      </w:pPr>
    </w:p>
    <w:p>
      <w:pPr>
        <w:rPr>
          <w:rFonts w:hint="eastAsia" w:ascii="黑体" w:hAnsi="黑体" w:eastAsia="黑体" w:cs="黑体"/>
          <w:b w:val="0"/>
          <w:bCs w:val="0"/>
          <w:sz w:val="32"/>
          <w:szCs w:val="40"/>
          <w:lang w:val="en-US" w:eastAsia="zh-Hans"/>
        </w:rPr>
      </w:pPr>
    </w:p>
    <w:p>
      <w:pPr>
        <w:rPr>
          <w:rFonts w:hint="eastAsia" w:ascii="黑体" w:hAnsi="黑体" w:eastAsia="黑体" w:cs="黑体"/>
          <w:b w:val="0"/>
          <w:bCs w:val="0"/>
          <w:sz w:val="32"/>
          <w:szCs w:val="40"/>
          <w:lang w:val="en-US" w:eastAsia="zh-Hans"/>
        </w:rPr>
      </w:pPr>
    </w:p>
    <w:p>
      <w:pPr>
        <w:rPr>
          <w:rFonts w:hint="eastAsia" w:ascii="黑体" w:hAnsi="黑体" w:eastAsia="黑体" w:cs="黑体"/>
          <w:b w:val="0"/>
          <w:bCs w:val="0"/>
          <w:sz w:val="32"/>
          <w:szCs w:val="40"/>
          <w:lang w:val="en-US" w:eastAsia="zh-Hans"/>
        </w:rPr>
      </w:pPr>
    </w:p>
    <w:p>
      <w:pPr>
        <w:rPr>
          <w:rFonts w:hint="eastAsia" w:ascii="黑体" w:hAnsi="黑体" w:eastAsia="黑体" w:cs="黑体"/>
          <w:b w:val="0"/>
          <w:bCs w:val="0"/>
          <w:sz w:val="32"/>
          <w:szCs w:val="40"/>
          <w:lang w:val="en-US" w:eastAsia="zh-Hans"/>
        </w:rPr>
      </w:pPr>
    </w:p>
    <w:p>
      <w:pPr>
        <w:rPr>
          <w:rFonts w:hint="eastAsia" w:ascii="黑体" w:hAnsi="黑体" w:eastAsia="黑体" w:cs="黑体"/>
          <w:b w:val="0"/>
          <w:bCs w:val="0"/>
          <w:sz w:val="32"/>
          <w:szCs w:val="40"/>
          <w:lang w:val="en-US" w:eastAsia="zh-Hans"/>
        </w:rPr>
      </w:pPr>
    </w:p>
    <w:p>
      <w:pPr>
        <w:rPr>
          <w:rFonts w:hint="eastAsia" w:ascii="黑体" w:hAnsi="黑体" w:eastAsia="黑体" w:cs="黑体"/>
          <w:b w:val="0"/>
          <w:bCs w:val="0"/>
          <w:sz w:val="32"/>
          <w:szCs w:val="40"/>
          <w:lang w:val="en-US" w:eastAsia="zh-Hans"/>
        </w:rPr>
      </w:pPr>
    </w:p>
    <w:p>
      <w:pPr>
        <w:rPr>
          <w:rFonts w:hint="eastAsia" w:ascii="黑体" w:hAnsi="黑体" w:eastAsia="黑体" w:cs="黑体"/>
          <w:b w:val="0"/>
          <w:bCs w:val="0"/>
          <w:sz w:val="32"/>
          <w:szCs w:val="40"/>
          <w:lang w:val="en-US" w:eastAsia="zh-Hans"/>
        </w:rPr>
      </w:pPr>
    </w:p>
    <w:p>
      <w:pPr>
        <w:rPr>
          <w:rFonts w:hint="eastAsia" w:ascii="黑体" w:hAnsi="黑体" w:eastAsia="黑体" w:cs="黑体"/>
          <w:b w:val="0"/>
          <w:bCs w:val="0"/>
          <w:sz w:val="32"/>
          <w:szCs w:val="40"/>
          <w:lang w:val="en-US" w:eastAsia="zh-Hans"/>
        </w:rPr>
        <w:sectPr>
          <w:footerReference r:id="rId3" w:type="default"/>
          <w:footerReference r:id="rId4" w:type="even"/>
          <w:pgSz w:w="11906" w:h="16838"/>
          <w:pgMar w:top="1644" w:right="1474" w:bottom="1644" w:left="1587" w:header="851" w:footer="907" w:gutter="0"/>
          <w:cols w:space="0" w:num="1"/>
          <w:docGrid w:type="linesAndChars" w:linePitch="589" w:charSpace="-842"/>
        </w:sectPr>
      </w:pPr>
    </w:p>
    <w:p>
      <w:pPr>
        <w:rPr>
          <w:rFonts w:hint="eastAsia" w:ascii="方正小标宋简体" w:hAnsi="宋体" w:eastAsia="方正小标宋简体"/>
          <w:kern w:val="0"/>
          <w:sz w:val="40"/>
          <w:szCs w:val="40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40"/>
          <w:lang w:val="en-US" w:eastAsia="zh-Hans"/>
        </w:rPr>
        <w:t>附件</w:t>
      </w:r>
      <w:r>
        <w:rPr>
          <w:rFonts w:hint="eastAsia" w:ascii="黑体" w:hAnsi="黑体" w:eastAsia="黑体" w:cs="黑体"/>
          <w:b w:val="0"/>
          <w:bCs w:val="0"/>
          <w:sz w:val="32"/>
          <w:szCs w:val="40"/>
          <w:lang w:val="en-US" w:eastAsia="zh-CN"/>
        </w:rPr>
        <w:t>3</w:t>
      </w:r>
    </w:p>
    <w:p>
      <w:pPr>
        <w:jc w:val="center"/>
        <w:rPr>
          <w:rFonts w:hint="eastAsia" w:ascii="方正小标宋简体" w:hAnsi="宋体" w:eastAsia="方正小标宋简体"/>
          <w:sz w:val="44"/>
          <w:szCs w:val="44"/>
          <w:lang w:val="en-US" w:eastAsia="zh-CN"/>
        </w:rPr>
      </w:pPr>
      <w:r>
        <w:rPr>
          <w:rFonts w:hint="eastAsia" w:ascii="方正小标宋简体" w:hAnsi="宋体" w:eastAsia="方正小标宋简体"/>
          <w:sz w:val="44"/>
          <w:szCs w:val="44"/>
          <w:lang w:val="en-US" w:eastAsia="zh-Hans"/>
        </w:rPr>
        <w:t>质量基础设施“一站式”服务项目</w:t>
      </w:r>
      <w:r>
        <w:rPr>
          <w:rFonts w:hint="eastAsia" w:ascii="方正小标宋简体" w:hAnsi="宋体" w:eastAsia="方正小标宋简体"/>
          <w:sz w:val="44"/>
          <w:szCs w:val="44"/>
          <w:lang w:val="en-US" w:eastAsia="zh-CN"/>
        </w:rPr>
        <w:t>评价得分表</w:t>
      </w:r>
    </w:p>
    <w:tbl>
      <w:tblPr>
        <w:tblStyle w:val="5"/>
        <w:tblW w:w="1481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91"/>
        <w:gridCol w:w="1860"/>
        <w:gridCol w:w="10269"/>
        <w:gridCol w:w="8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blHeader/>
          <w:jc w:val="center"/>
        </w:trPr>
        <w:tc>
          <w:tcPr>
            <w:tcW w:w="179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157" w:beforeLines="50" w:after="157" w:afterLines="50" w:line="120" w:lineRule="exact"/>
              <w:ind w:lef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  <w:t>一级指标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157" w:beforeLines="50" w:after="157" w:afterLines="50" w:line="120" w:lineRule="exact"/>
              <w:ind w:lef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kern w:val="2"/>
                <w:sz w:val="24"/>
                <w:szCs w:val="24"/>
                <w:vertAlign w:val="baseline"/>
                <w:lang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2"/>
                <w:sz w:val="24"/>
                <w:szCs w:val="24"/>
                <w:vertAlign w:val="baseline"/>
                <w:lang w:eastAsia="zh-CN" w:bidi="ar-SA"/>
              </w:rPr>
              <w:t>二级指标</w:t>
            </w:r>
          </w:p>
        </w:tc>
        <w:tc>
          <w:tcPr>
            <w:tcW w:w="1026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157" w:beforeLines="50" w:after="157" w:afterLines="50" w:line="1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kern w:val="2"/>
                <w:sz w:val="24"/>
                <w:szCs w:val="24"/>
                <w:vertAlign w:val="baseline"/>
                <w:lang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2"/>
                <w:sz w:val="24"/>
                <w:szCs w:val="24"/>
                <w:vertAlign w:val="baseline"/>
                <w:lang w:eastAsia="zh-CN" w:bidi="ar-SA"/>
              </w:rPr>
              <w:t>评价要点</w:t>
            </w:r>
          </w:p>
        </w:tc>
        <w:tc>
          <w:tcPr>
            <w:tcW w:w="89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157" w:beforeLines="50" w:after="157" w:afterLines="50" w:line="1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  <w:t>得分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45" w:hRule="atLeast"/>
          <w:jc w:val="center"/>
        </w:trPr>
        <w:tc>
          <w:tcPr>
            <w:tcW w:w="1791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32"/>
                <w:vertAlign w:val="baseline"/>
                <w:lang w:val="en-US" w:eastAsia="zh-Hans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vertAlign w:val="baseline"/>
                <w:lang w:val="en-US" w:eastAsia="zh-Hans"/>
              </w:rPr>
              <w:t>运营情况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32"/>
                <w:vertAlign w:val="baseline"/>
                <w:lang w:val="en-US" w:eastAsia="zh-Hans"/>
              </w:rPr>
            </w:pPr>
            <w:r>
              <w:rPr>
                <w:rFonts w:hint="default" w:ascii="仿宋_GB2312" w:hAnsi="仿宋_GB2312" w:eastAsia="仿宋_GB2312" w:cs="仿宋_GB2312"/>
                <w:sz w:val="24"/>
                <w:szCs w:val="32"/>
                <w:vertAlign w:val="baseline"/>
                <w:lang w:eastAsia="zh-Hans"/>
              </w:rPr>
              <w:t>（20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  <w:vertAlign w:val="baseline"/>
                <w:lang w:val="en-US" w:eastAsia="zh-Hans"/>
              </w:rPr>
              <w:t>分</w:t>
            </w:r>
            <w:r>
              <w:rPr>
                <w:rFonts w:hint="default" w:ascii="仿宋_GB2312" w:hAnsi="仿宋_GB2312" w:eastAsia="仿宋_GB2312" w:cs="仿宋_GB2312"/>
                <w:sz w:val="24"/>
                <w:szCs w:val="32"/>
                <w:vertAlign w:val="baseline"/>
                <w:lang w:eastAsia="zh-Hans"/>
              </w:rPr>
              <w:t>）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制度建设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（4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）</w:t>
            </w:r>
          </w:p>
        </w:tc>
        <w:tc>
          <w:tcPr>
            <w:tcW w:w="1026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建立健全制度体系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内容包括但不限于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：（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每提供一项规章制度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得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1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）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（1）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服务岗位及流程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（2）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服务统计及档案管理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（3）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服务需求采集与分析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（4）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服务质量考核管理及投诉反馈处理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。</w:t>
            </w:r>
          </w:p>
        </w:tc>
        <w:tc>
          <w:tcPr>
            <w:tcW w:w="89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79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32"/>
                <w:vertAlign w:val="baseline"/>
                <w:lang w:val="en-US" w:eastAsia="zh-Hans"/>
              </w:rPr>
            </w:pP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经费保障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（2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）</w:t>
            </w:r>
          </w:p>
        </w:tc>
        <w:tc>
          <w:tcPr>
            <w:tcW w:w="1026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结合实际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建立经费保障机制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内容包括但不限于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：（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每包含一项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得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1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）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both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（1）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政府部门给予经费支持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（2）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项目实施单位有工作经费保障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。</w:t>
            </w:r>
          </w:p>
        </w:tc>
        <w:tc>
          <w:tcPr>
            <w:tcW w:w="89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2"/>
                <w:szCs w:val="22"/>
                <w:vertAlign w:val="baseline"/>
                <w:lang w:val="en-US" w:eastAsia="zh-Han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79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32"/>
                <w:vertAlign w:val="baseline"/>
                <w:lang w:val="en-US" w:eastAsia="zh-Hans"/>
              </w:rPr>
            </w:pP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技术保障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（2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）</w:t>
            </w:r>
          </w:p>
        </w:tc>
        <w:tc>
          <w:tcPr>
            <w:tcW w:w="1026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吸引各类满足法定资质的技术服务机构共同参与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内容包括但不限于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：（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每符合以下一项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得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1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）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（1）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成立服务联盟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创新平台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（2）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与国家级专业技术服务机构或市级专业技术服务机构合作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。</w:t>
            </w:r>
          </w:p>
        </w:tc>
        <w:tc>
          <w:tcPr>
            <w:tcW w:w="89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2"/>
                <w:szCs w:val="22"/>
                <w:vertAlign w:val="baseline"/>
                <w:lang w:val="en-US" w:eastAsia="zh-Han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17" w:hRule="atLeast"/>
          <w:jc w:val="center"/>
        </w:trPr>
        <w:tc>
          <w:tcPr>
            <w:tcW w:w="1791" w:type="dxa"/>
            <w:vMerge w:val="continue"/>
            <w:vAlign w:val="center"/>
          </w:tcPr>
          <w:p>
            <w:pPr>
              <w:keepNext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32"/>
                <w:vertAlign w:val="baseline"/>
                <w:lang w:val="en-US" w:eastAsia="zh-Hans"/>
              </w:rPr>
            </w:pPr>
          </w:p>
        </w:tc>
        <w:tc>
          <w:tcPr>
            <w:tcW w:w="1860" w:type="dxa"/>
            <w:vAlign w:val="center"/>
          </w:tcPr>
          <w:p>
            <w:pPr>
              <w:keepNext/>
              <w:keepLines w:val="0"/>
              <w:pageBreakBefore w:val="0"/>
              <w:widowControl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人员保障</w:t>
            </w:r>
          </w:p>
          <w:p>
            <w:pPr>
              <w:keepNext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（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6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）</w:t>
            </w:r>
          </w:p>
        </w:tc>
        <w:tc>
          <w:tcPr>
            <w:tcW w:w="10269" w:type="dxa"/>
            <w:vAlign w:val="center"/>
          </w:tcPr>
          <w:p>
            <w:pPr>
              <w:keepNext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建立专职人员队伍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内容包括但不限于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：（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每符合以下一项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得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2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）</w:t>
            </w:r>
          </w:p>
          <w:p>
            <w:pPr>
              <w:keepNext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（1）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配备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1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名专职或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3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名以上兼职质量服务专员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；</w:t>
            </w:r>
          </w:p>
          <w:p>
            <w:pPr>
              <w:keepNext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（2）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配备具有相应管理经验的人员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；</w:t>
            </w:r>
          </w:p>
          <w:p>
            <w:pPr>
              <w:keepNext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（3）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工作人员每年至少接受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1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次质量相关培训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。</w:t>
            </w:r>
          </w:p>
        </w:tc>
        <w:tc>
          <w:tcPr>
            <w:tcW w:w="895" w:type="dxa"/>
            <w:vAlign w:val="center"/>
          </w:tcPr>
          <w:p>
            <w:pPr>
              <w:keepNext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2"/>
                <w:szCs w:val="22"/>
                <w:vertAlign w:val="baseline"/>
                <w:lang w:val="en-US" w:eastAsia="zh-Han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79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32"/>
                <w:vertAlign w:val="baseline"/>
                <w:lang w:val="en-US" w:eastAsia="zh-Hans"/>
              </w:rPr>
            </w:pP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场地保障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（2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）</w:t>
            </w:r>
          </w:p>
        </w:tc>
        <w:tc>
          <w:tcPr>
            <w:tcW w:w="1026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工作场所的规模和功能布局能满足业务受理、咨询指导等活动开展的需要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内容包括但不限于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：（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每符合以下一项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得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1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）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both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（1）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设有固定办公场地或区域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并具备质量基础设施“一站式”服务的咨询和受理功能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both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（2）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设置信息公开展示内容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包括服务流程、服务内容、服务方式及监督投诉电话等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。</w:t>
            </w:r>
          </w:p>
        </w:tc>
        <w:tc>
          <w:tcPr>
            <w:tcW w:w="89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2"/>
                <w:szCs w:val="22"/>
                <w:vertAlign w:val="baseline"/>
                <w:lang w:val="en-US" w:eastAsia="zh-Han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79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Hans"/>
              </w:rPr>
            </w:pP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宣传展示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（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4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）</w:t>
            </w:r>
          </w:p>
        </w:tc>
        <w:tc>
          <w:tcPr>
            <w:tcW w:w="1026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利用多种方式宣传质量基础设施“一站式”服务内容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内容包括但不限于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：（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每符合以下一项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得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1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）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both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（1）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充分梳理服务流程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服务内容等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形成相关宣传资料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相关事项在线上公开可查询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（2）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在服务场所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服务宣传材料等展示质量基础设施“一站式”服务标识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（3）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每年在质量月等重要时间节点开展集中宣传活动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（4）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利用微信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网站等网络渠道开展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highlight w:val="none"/>
                <w:u w:val="none"/>
                <w:vertAlign w:val="baseline"/>
                <w:lang w:val="en-US" w:eastAsia="zh-Hans" w:bidi="ar-SA"/>
              </w:rPr>
              <w:t>定期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宣传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。</w:t>
            </w:r>
          </w:p>
        </w:tc>
        <w:tc>
          <w:tcPr>
            <w:tcW w:w="89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2"/>
                <w:szCs w:val="22"/>
                <w:vertAlign w:val="baseline"/>
                <w:lang w:val="en-US" w:eastAsia="zh-Han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791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32"/>
                <w:vertAlign w:val="baseline"/>
                <w:lang w:val="en-US" w:eastAsia="zh-Hans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vertAlign w:val="baseline"/>
                <w:lang w:val="en-US" w:eastAsia="zh-Hans"/>
              </w:rPr>
              <w:t>服务能力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32"/>
                <w:vertAlign w:val="baseline"/>
                <w:lang w:val="en-US" w:eastAsia="zh-Hans"/>
              </w:rPr>
            </w:pPr>
            <w:r>
              <w:rPr>
                <w:rFonts w:hint="default" w:ascii="仿宋_GB2312" w:hAnsi="仿宋_GB2312" w:eastAsia="仿宋_GB2312" w:cs="仿宋_GB2312"/>
                <w:sz w:val="24"/>
                <w:szCs w:val="32"/>
                <w:vertAlign w:val="baseline"/>
                <w:lang w:eastAsia="zh-Hans"/>
              </w:rPr>
              <w:t>（30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  <w:vertAlign w:val="baseline"/>
                <w:lang w:val="en-US" w:eastAsia="zh-Hans"/>
              </w:rPr>
              <w:t>分</w:t>
            </w:r>
            <w:r>
              <w:rPr>
                <w:rFonts w:hint="default" w:ascii="仿宋_GB2312" w:hAnsi="仿宋_GB2312" w:eastAsia="仿宋_GB2312" w:cs="仿宋_GB2312"/>
                <w:sz w:val="24"/>
                <w:szCs w:val="32"/>
                <w:vertAlign w:val="baseline"/>
                <w:lang w:eastAsia="zh-Hans"/>
              </w:rPr>
              <w:t>）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合理布局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（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CN" w:bidi="ar-SA"/>
              </w:rPr>
              <w:t>8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）</w:t>
            </w:r>
          </w:p>
        </w:tc>
        <w:tc>
          <w:tcPr>
            <w:tcW w:w="1026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质量基础设施“一站式”服务项目的建设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能够符合区域产业发展规划和布局要求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。（8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）</w:t>
            </w:r>
          </w:p>
        </w:tc>
        <w:tc>
          <w:tcPr>
            <w:tcW w:w="89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79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32"/>
                <w:vertAlign w:val="baseline"/>
                <w:lang w:val="en-US" w:eastAsia="zh-Hans"/>
              </w:rPr>
            </w:pP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firstLine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集成化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（8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）</w:t>
            </w:r>
          </w:p>
        </w:tc>
        <w:tc>
          <w:tcPr>
            <w:tcW w:w="1026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提供集基础服务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拓展服务为一体的多元化服务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内容包括但不限于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：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计量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标准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检验检测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认证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品牌培育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知识产权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产业链供应链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政策咨询等方面的服务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。（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每提供一类服务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得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1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）</w:t>
            </w:r>
          </w:p>
        </w:tc>
        <w:tc>
          <w:tcPr>
            <w:tcW w:w="89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79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32"/>
                <w:vertAlign w:val="baseline"/>
                <w:lang w:val="en-US" w:eastAsia="zh-Hans"/>
              </w:rPr>
            </w:pP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便利化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（4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）</w:t>
            </w:r>
          </w:p>
        </w:tc>
        <w:tc>
          <w:tcPr>
            <w:tcW w:w="1026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提供便利性服务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内容包括但不限于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：（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每符合以下一项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得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1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）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（1）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定期组织开展公益性培训或讲座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（2）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定期组织开展公益性的企业交流活动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（3）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具备质量方面的助企纾困优惠政策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（4）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提供质量基础设施仪器仪表开放共享资源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。</w:t>
            </w:r>
          </w:p>
        </w:tc>
        <w:tc>
          <w:tcPr>
            <w:tcW w:w="89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79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32"/>
                <w:vertAlign w:val="baseline"/>
                <w:lang w:val="en-US" w:eastAsia="zh-Hans"/>
              </w:rPr>
            </w:pP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10）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数字化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（4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）</w:t>
            </w:r>
          </w:p>
        </w:tc>
        <w:tc>
          <w:tcPr>
            <w:tcW w:w="1026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充分利用数字化手段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实现服务线上线下融合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内容包括但不限于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：（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每符合以下一项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得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2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）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加强数字化服务工具的利用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充分利用实施单位的线上服务平台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通过利用微信公众号等方式提供线上服务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建立服务对象的数字档案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加强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《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登记表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》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的数据管理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推行“一企一档”的精准服务。</w:t>
            </w:r>
          </w:p>
        </w:tc>
        <w:tc>
          <w:tcPr>
            <w:tcW w:w="89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3" w:hRule="atLeast"/>
          <w:jc w:val="center"/>
        </w:trPr>
        <w:tc>
          <w:tcPr>
            <w:tcW w:w="1791" w:type="dxa"/>
            <w:vAlign w:val="center"/>
          </w:tcPr>
          <w:p>
            <w:pPr>
              <w:keepNext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32"/>
                <w:vertAlign w:val="baseline"/>
                <w:lang w:eastAsia="zh-Hans"/>
              </w:rPr>
            </w:pP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both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11）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持续改进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（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CN" w:bidi="ar-SA"/>
              </w:rPr>
              <w:t>6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分）</w:t>
            </w:r>
          </w:p>
        </w:tc>
        <w:tc>
          <w:tcPr>
            <w:tcW w:w="1026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both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不断推动服务能力的提升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内容包括但不限于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：（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每开展一项工作得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2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）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对质量基础设施“一站式”服务对象定期开展服务需求采集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对质量基础设施“一站式”服务对象的服务满意情况开展统计分析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并持续改进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定期对支撑质量基础设施“一站式”服务项目的技术服务机构开展评价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督促技术服务机构提高服务质量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。</w:t>
            </w:r>
          </w:p>
        </w:tc>
        <w:tc>
          <w:tcPr>
            <w:tcW w:w="895" w:type="dxa"/>
            <w:vAlign w:val="center"/>
          </w:tcPr>
          <w:p>
            <w:pPr>
              <w:keepNext/>
              <w:keepLines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2"/>
                <w:szCs w:val="22"/>
                <w:vertAlign w:val="baseline"/>
                <w:lang w:val="en-US" w:eastAsia="zh-Han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3" w:hRule="atLeast"/>
          <w:jc w:val="center"/>
        </w:trPr>
        <w:tc>
          <w:tcPr>
            <w:tcW w:w="1791" w:type="dxa"/>
            <w:vMerge w:val="restart"/>
            <w:vAlign w:val="center"/>
          </w:tcPr>
          <w:p>
            <w:pPr>
              <w:keepNext/>
              <w:keepLines w:val="0"/>
              <w:pageBreakBefore w:val="0"/>
              <w:widowControl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32"/>
                <w:vertAlign w:val="baseline"/>
                <w:lang w:val="en-US" w:eastAsia="zh-Hans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vertAlign w:val="baseline"/>
                <w:lang w:val="en-US" w:eastAsia="zh-Hans"/>
              </w:rPr>
              <w:t>服务成效</w:t>
            </w:r>
          </w:p>
          <w:p>
            <w:pPr>
              <w:keepNext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32"/>
                <w:vertAlign w:val="baseline"/>
                <w:lang w:eastAsia="zh-Hans"/>
              </w:rPr>
            </w:pPr>
            <w:r>
              <w:rPr>
                <w:rFonts w:hint="default" w:ascii="仿宋_GB2312" w:hAnsi="仿宋_GB2312" w:eastAsia="仿宋_GB2312" w:cs="仿宋_GB2312"/>
                <w:sz w:val="24"/>
                <w:szCs w:val="32"/>
                <w:vertAlign w:val="baseline"/>
                <w:lang w:eastAsia="zh-Hans"/>
              </w:rPr>
              <w:t>（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  <w:vertAlign w:val="baseline"/>
                <w:lang w:val="en-US" w:eastAsia="zh-CN"/>
              </w:rPr>
              <w:t>5</w:t>
            </w:r>
            <w:r>
              <w:rPr>
                <w:rFonts w:hint="default" w:ascii="仿宋_GB2312" w:hAnsi="仿宋_GB2312" w:eastAsia="仿宋_GB2312" w:cs="仿宋_GB2312"/>
                <w:sz w:val="24"/>
                <w:szCs w:val="32"/>
                <w:vertAlign w:val="baseline"/>
                <w:lang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  <w:vertAlign w:val="baseline"/>
                <w:lang w:val="en-US" w:eastAsia="zh-Hans"/>
              </w:rPr>
              <w:t>分</w:t>
            </w:r>
            <w:r>
              <w:rPr>
                <w:rFonts w:hint="default" w:ascii="仿宋_GB2312" w:hAnsi="仿宋_GB2312" w:eastAsia="仿宋_GB2312" w:cs="仿宋_GB2312"/>
                <w:sz w:val="24"/>
                <w:szCs w:val="32"/>
                <w:vertAlign w:val="baseline"/>
                <w:lang w:eastAsia="zh-Hans"/>
              </w:rPr>
              <w:t>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32"/>
                <w:vertAlign w:val="baseline"/>
                <w:lang w:val="en-US" w:eastAsia="zh-Hans"/>
              </w:rPr>
            </w:pP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12）服务数量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 xml:space="preserve"> （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CN" w:bidi="ar-SA"/>
              </w:rPr>
              <w:t>30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分）</w:t>
            </w:r>
          </w:p>
        </w:tc>
        <w:tc>
          <w:tcPr>
            <w:tcW w:w="10269" w:type="dxa"/>
            <w:vAlign w:val="center"/>
          </w:tcPr>
          <w:p>
            <w:pPr>
              <w:keepNext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提供一定数量的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专业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服务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满足相关企业需求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内容包括但不限于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：</w:t>
            </w:r>
          </w:p>
          <w:p>
            <w:pPr>
              <w:keepNext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（1）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帮助服务对象获得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计量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和校准证书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检验检测报告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认证证书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质量管理相关证书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（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每一份得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0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.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5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最高不超过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10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）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；</w:t>
            </w:r>
          </w:p>
          <w:p>
            <w:pPr>
              <w:keepNext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（2）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为服务对象提供品牌培育和认证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各级政府质量奖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商标和专利等质量提升方面的咨询或技术服务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（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每家次得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0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.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5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最高不超过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5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）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。</w:t>
            </w:r>
          </w:p>
          <w:p>
            <w:pPr>
              <w:keepNext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（3）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组织服务对象参加标准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质量管理等集中宣贯和培训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（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每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100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家次得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最高不超过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5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）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；</w:t>
            </w:r>
          </w:p>
          <w:p>
            <w:pPr>
              <w:keepNext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（4）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为服务对象提供关键技术产学研合作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仪器设备共享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科技成果转化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（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每家次得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最高不超过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5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）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；</w:t>
            </w:r>
          </w:p>
          <w:p>
            <w:pPr>
              <w:keepNext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（5）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支撑服务对象获质量攻关成果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标准化成果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知识产权成果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数字化转型成效等技术创新成果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（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服务对象每获得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1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个成果得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0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.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5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，1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个服务对象仅记一次得分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，最多不超过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CN" w:bidi="ar-SA"/>
              </w:rPr>
              <w:t>5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）。</w:t>
            </w:r>
          </w:p>
        </w:tc>
        <w:tc>
          <w:tcPr>
            <w:tcW w:w="895" w:type="dxa"/>
            <w:vAlign w:val="center"/>
          </w:tcPr>
          <w:p>
            <w:pPr>
              <w:keepNext/>
              <w:keepLines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2"/>
                <w:szCs w:val="22"/>
                <w:vertAlign w:val="baseline"/>
                <w:lang w:val="en-US" w:eastAsia="zh-Han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4" w:hRule="atLeast"/>
          <w:jc w:val="center"/>
        </w:trPr>
        <w:tc>
          <w:tcPr>
            <w:tcW w:w="179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32"/>
                <w:vertAlign w:val="baseline"/>
                <w:lang w:val="en-US" w:eastAsia="zh-Hans"/>
              </w:rPr>
            </w:pP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中小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微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企业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（5分）</w:t>
            </w:r>
          </w:p>
        </w:tc>
        <w:tc>
          <w:tcPr>
            <w:tcW w:w="1026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积极服务产业链中小微企业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（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每年每家次得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0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.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最高不超过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5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）。</w:t>
            </w:r>
          </w:p>
        </w:tc>
        <w:tc>
          <w:tcPr>
            <w:tcW w:w="89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2"/>
                <w:szCs w:val="22"/>
                <w:vertAlign w:val="baseline"/>
                <w:lang w:val="en-US" w:eastAsia="zh-Han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4" w:hRule="atLeast"/>
          <w:jc w:val="center"/>
        </w:trPr>
        <w:tc>
          <w:tcPr>
            <w:tcW w:w="179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32"/>
                <w:vertAlign w:val="baseline"/>
                <w:lang w:val="en-US" w:eastAsia="zh-Hans"/>
              </w:rPr>
            </w:pP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14）典型案例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 xml:space="preserve">  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（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10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）</w:t>
            </w:r>
          </w:p>
        </w:tc>
        <w:tc>
          <w:tcPr>
            <w:tcW w:w="1026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通过“一站式”服务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在以下方面形成一批促进高质量发展的典型案例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内容包括但不限于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：（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同一类型案例每提供一个案例得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2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最多不超过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10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）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帮助服务对象实现质量提升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帮助服务对象降低成本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增长利润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增加产值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帮助服务对象新增就业岗位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。</w:t>
            </w:r>
          </w:p>
        </w:tc>
        <w:tc>
          <w:tcPr>
            <w:tcW w:w="89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2"/>
                <w:szCs w:val="22"/>
                <w:vertAlign w:val="baseline"/>
                <w:lang w:val="en-US" w:eastAsia="zh-Han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4" w:hRule="atLeast"/>
          <w:jc w:val="center"/>
        </w:trPr>
        <w:tc>
          <w:tcPr>
            <w:tcW w:w="179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32"/>
                <w:vertAlign w:val="baseline"/>
                <w:lang w:val="en-US" w:eastAsia="zh-Hans"/>
              </w:rPr>
            </w:pP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15）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园区效益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（5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）</w:t>
            </w:r>
          </w:p>
        </w:tc>
        <w:tc>
          <w:tcPr>
            <w:tcW w:w="1026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园区经济效益增长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相关税收增加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。（5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）</w:t>
            </w:r>
          </w:p>
        </w:tc>
        <w:tc>
          <w:tcPr>
            <w:tcW w:w="89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2"/>
                <w:szCs w:val="22"/>
                <w:vertAlign w:val="baseline"/>
                <w:lang w:val="en-US" w:eastAsia="zh-Han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4" w:hRule="atLeast"/>
          <w:jc w:val="center"/>
        </w:trPr>
        <w:tc>
          <w:tcPr>
            <w:tcW w:w="1791" w:type="dxa"/>
            <w:vMerge w:val="restart"/>
            <w:vAlign w:val="center"/>
          </w:tcPr>
          <w:p>
            <w:pPr>
              <w:keepNext/>
              <w:keepLines w:val="0"/>
              <w:pageBreakBefore w:val="0"/>
              <w:widowControl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32"/>
                <w:vertAlign w:val="baseline"/>
                <w:lang w:val="en-US" w:eastAsia="zh-Hans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vertAlign w:val="baseline"/>
                <w:lang w:val="en-US" w:eastAsia="zh-Hans"/>
              </w:rPr>
              <w:t>加分项</w:t>
            </w:r>
          </w:p>
          <w:p>
            <w:pPr>
              <w:keepNext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32"/>
                <w:vertAlign w:val="baseline"/>
                <w:lang w:eastAsia="zh-Hans"/>
              </w:rPr>
            </w:pPr>
            <w:r>
              <w:rPr>
                <w:rFonts w:hint="default" w:ascii="仿宋_GB2312" w:hAnsi="仿宋_GB2312" w:eastAsia="仿宋_GB2312" w:cs="仿宋_GB2312"/>
                <w:sz w:val="24"/>
                <w:szCs w:val="32"/>
                <w:vertAlign w:val="baseline"/>
                <w:lang w:eastAsia="zh-Hans"/>
              </w:rPr>
              <w:t>（10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  <w:vertAlign w:val="baseline"/>
                <w:lang w:val="en-US" w:eastAsia="zh-Hans"/>
              </w:rPr>
              <w:t>分</w:t>
            </w:r>
            <w:r>
              <w:rPr>
                <w:rFonts w:hint="default" w:ascii="仿宋_GB2312" w:hAnsi="仿宋_GB2312" w:eastAsia="仿宋_GB2312" w:cs="仿宋_GB2312"/>
                <w:sz w:val="24"/>
                <w:szCs w:val="32"/>
                <w:vertAlign w:val="baseline"/>
                <w:lang w:eastAsia="zh-Hans"/>
              </w:rPr>
              <w:t>）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1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CN" w:bidi="ar-SA"/>
              </w:rPr>
              <w:t>6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）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荣誉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称号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（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CN" w:bidi="ar-SA"/>
              </w:rPr>
              <w:t>4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）</w:t>
            </w:r>
          </w:p>
        </w:tc>
        <w:tc>
          <w:tcPr>
            <w:tcW w:w="1026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推动服务对象被认定为高新技术企业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科技小巨人企业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“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专精特新”企业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高新技术成果转化项目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科技进步奖等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。（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服务对象每获得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1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个称号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得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0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.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5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，1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个服务对象仅记一次得分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，最多不超过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CN" w:bidi="ar-SA"/>
              </w:rPr>
              <w:t>4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）</w:t>
            </w:r>
          </w:p>
        </w:tc>
        <w:tc>
          <w:tcPr>
            <w:tcW w:w="895" w:type="dxa"/>
            <w:vAlign w:val="center"/>
          </w:tcPr>
          <w:p>
            <w:pPr>
              <w:keepNext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2"/>
                <w:szCs w:val="22"/>
                <w:vertAlign w:val="baseline"/>
                <w:lang w:val="en-US" w:eastAsia="zh-Han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4" w:hRule="atLeast"/>
          <w:jc w:val="center"/>
        </w:trPr>
        <w:tc>
          <w:tcPr>
            <w:tcW w:w="179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32"/>
                <w:vertAlign w:val="baseline"/>
                <w:lang w:val="en-US" w:eastAsia="zh-Hans"/>
              </w:rPr>
            </w:pP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17）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质量提升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0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CN" w:bidi="ar-SA"/>
              </w:rPr>
              <w:t>（6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CN" w:bidi="ar-SA"/>
              </w:rPr>
              <w:t>）</w:t>
            </w:r>
          </w:p>
        </w:tc>
        <w:tc>
          <w:tcPr>
            <w:tcW w:w="1026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服务对象或“一站式”服务项目实施主体在质量提升方面成效显著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如获政府质量奖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获重点产品质量攻关成果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获质量品牌提升示范区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通过“上海品牌”认证及形成质量方面典型案例等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。（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每获得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1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个荣誉得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1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Hans" w:bidi="ar-SA"/>
              </w:rPr>
              <w:t>分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，最多不超过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CN" w:bidi="ar-SA"/>
              </w:rPr>
              <w:t>6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分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eastAsia="zh-Hans" w:bidi="ar-SA"/>
              </w:rPr>
              <w:t>）</w:t>
            </w:r>
          </w:p>
        </w:tc>
        <w:tc>
          <w:tcPr>
            <w:tcW w:w="89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2"/>
                <w:szCs w:val="22"/>
                <w:vertAlign w:val="baseline"/>
                <w:lang w:val="en-US" w:eastAsia="zh-Hans" w:bidi="ar-SA"/>
              </w:rPr>
            </w:pPr>
          </w:p>
        </w:tc>
      </w:tr>
    </w:tbl>
    <w:p>
      <w:pPr>
        <w:tabs>
          <w:tab w:val="left" w:pos="790"/>
          <w:tab w:val="left" w:pos="1264"/>
        </w:tabs>
        <w:overflowPunct w:val="0"/>
        <w:adjustRightInd w:val="0"/>
        <w:snapToGrid w:val="0"/>
        <w:spacing w:line="336" w:lineRule="auto"/>
        <w:ind w:firstLine="624"/>
        <w:rPr>
          <w:rFonts w:hint="eastAsia" w:hAnsi="宋体"/>
          <w:szCs w:val="30"/>
        </w:rPr>
      </w:pPr>
    </w:p>
    <w:p>
      <w:pPr>
        <w:keepNext w:val="0"/>
        <w:keepLines w:val="0"/>
        <w:pageBreakBefore w:val="0"/>
        <w:widowControl w:val="0"/>
        <w:tabs>
          <w:tab w:val="left" w:pos="790"/>
        </w:tabs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before="157" w:beforeLines="50"/>
        <w:jc w:val="center"/>
        <w:textAlignment w:val="auto"/>
        <w:rPr>
          <w:rFonts w:hint="eastAsia" w:ascii="方正小标宋简体" w:hAnsi="宋体" w:eastAsia="方正小标宋简体"/>
          <w:kern w:val="0"/>
          <w:sz w:val="40"/>
          <w:szCs w:val="40"/>
          <w:lang w:val="en-US" w:eastAsia="zh-CN"/>
        </w:rPr>
      </w:pPr>
    </w:p>
    <w:p>
      <w:pPr>
        <w:keepNext w:val="0"/>
        <w:keepLines w:val="0"/>
        <w:pageBreakBefore w:val="0"/>
        <w:widowControl w:val="0"/>
        <w:tabs>
          <w:tab w:val="left" w:pos="790"/>
        </w:tabs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before="157" w:beforeLines="50"/>
        <w:jc w:val="center"/>
        <w:textAlignment w:val="auto"/>
        <w:rPr>
          <w:rFonts w:hint="eastAsia" w:ascii="方正小标宋简体" w:hAnsi="宋体" w:eastAsia="方正小标宋简体"/>
          <w:kern w:val="0"/>
          <w:sz w:val="40"/>
          <w:szCs w:val="40"/>
          <w:lang w:val="en-US" w:eastAsia="zh-CN"/>
        </w:rPr>
      </w:pPr>
    </w:p>
    <w:p>
      <w:pPr>
        <w:pStyle w:val="2"/>
        <w:numPr>
          <w:ilvl w:val="1"/>
          <w:numId w:val="0"/>
        </w:numPr>
        <w:ind w:leftChars="0"/>
        <w:rPr>
          <w:rFonts w:hint="eastAsia"/>
          <w:lang w:val="en-US" w:eastAsia="zh-CN"/>
        </w:rPr>
      </w:pPr>
    </w:p>
    <w:p>
      <w:pPr>
        <w:rPr>
          <w:rFonts w:hint="eastAsia" w:ascii="方正小标宋简体" w:hAnsi="宋体" w:eastAsia="方正小标宋简体"/>
          <w:kern w:val="0"/>
          <w:sz w:val="40"/>
          <w:szCs w:val="40"/>
          <w:lang w:val="en-US" w:eastAsia="zh-CN"/>
        </w:rPr>
      </w:pPr>
    </w:p>
    <w:p>
      <w:pPr>
        <w:pStyle w:val="2"/>
        <w:numPr>
          <w:ilvl w:val="1"/>
          <w:numId w:val="0"/>
        </w:numPr>
        <w:ind w:leftChars="0"/>
        <w:rPr>
          <w:rFonts w:hint="eastAsia"/>
          <w:lang w:val="en-US" w:eastAsia="zh-CN"/>
        </w:rPr>
      </w:pPr>
    </w:p>
    <w:p>
      <w:pPr>
        <w:rPr>
          <w:rFonts w:hint="eastAsia" w:ascii="方正小标宋简体" w:hAnsi="宋体" w:eastAsia="方正小标宋简体"/>
          <w:kern w:val="0"/>
          <w:sz w:val="40"/>
          <w:szCs w:val="40"/>
          <w:lang w:val="en-US" w:eastAsia="zh-CN"/>
        </w:rPr>
      </w:pPr>
    </w:p>
    <w:p>
      <w:pPr>
        <w:pStyle w:val="2"/>
        <w:numPr>
          <w:ilvl w:val="1"/>
          <w:numId w:val="0"/>
        </w:numPr>
        <w:ind w:leftChars="0"/>
        <w:rPr>
          <w:rFonts w:hint="eastAsia"/>
          <w:lang w:val="en-US" w:eastAsia="zh-CN"/>
        </w:rPr>
      </w:pPr>
    </w:p>
    <w:p>
      <w:pPr>
        <w:rPr>
          <w:rFonts w:hint="eastAsia" w:ascii="黑体" w:hAnsi="黑体" w:eastAsia="黑体" w:cs="黑体"/>
          <w:b w:val="0"/>
          <w:bCs w:val="0"/>
          <w:sz w:val="32"/>
          <w:szCs w:val="40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40"/>
          <w:lang w:val="en-US" w:eastAsia="zh-Hans"/>
        </w:rPr>
        <w:t>附件</w:t>
      </w:r>
      <w:r>
        <w:rPr>
          <w:rFonts w:hint="eastAsia" w:ascii="黑体" w:hAnsi="黑体" w:eastAsia="黑体" w:cs="黑体"/>
          <w:b w:val="0"/>
          <w:bCs w:val="0"/>
          <w:sz w:val="32"/>
          <w:szCs w:val="40"/>
          <w:lang w:val="en-US" w:eastAsia="zh-CN"/>
        </w:rPr>
        <w:t>4</w:t>
      </w:r>
    </w:p>
    <w:p>
      <w:pPr>
        <w:jc w:val="center"/>
        <w:rPr>
          <w:sz w:val="24"/>
        </w:rPr>
      </w:pPr>
      <w:r>
        <w:rPr>
          <w:rFonts w:hint="eastAsia" w:ascii="方正小标宋简体" w:hAnsi="宋体" w:eastAsia="方正小标宋简体"/>
          <w:sz w:val="44"/>
          <w:szCs w:val="44"/>
        </w:rPr>
        <w:t>质量基础设施“一站式”服务情况登记表</w:t>
      </w:r>
    </w:p>
    <w:p>
      <w:pPr>
        <w:overflowPunct w:val="0"/>
        <w:adjustRightInd w:val="0"/>
        <w:snapToGrid w:val="0"/>
        <w:spacing w:after="60"/>
        <w:rPr>
          <w:sz w:val="24"/>
        </w:rPr>
      </w:pPr>
      <w:r>
        <w:rPr>
          <w:rFonts w:hint="eastAsia"/>
          <w:sz w:val="24"/>
        </w:rPr>
        <w:t>企业名称：　　　　　　　　　　　　　　　　　　　企业地址：</w:t>
      </w:r>
    </w:p>
    <w:p>
      <w:pPr>
        <w:overflowPunct w:val="0"/>
        <w:adjustRightInd w:val="0"/>
        <w:snapToGrid w:val="0"/>
        <w:spacing w:after="60"/>
        <w:rPr>
          <w:sz w:val="24"/>
        </w:rPr>
      </w:pPr>
      <w:r>
        <w:rPr>
          <w:rFonts w:hint="eastAsia"/>
          <w:sz w:val="24"/>
        </w:rPr>
        <w:t>联 系 人：　　　　　　　　　　　　　　　　　　　联系电话：</w:t>
      </w:r>
    </w:p>
    <w:tbl>
      <w:tblPr>
        <w:tblStyle w:val="5"/>
        <w:tblW w:w="1360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7"/>
        <w:gridCol w:w="1701"/>
        <w:gridCol w:w="1247"/>
        <w:gridCol w:w="1247"/>
        <w:gridCol w:w="1247"/>
        <w:gridCol w:w="1247"/>
        <w:gridCol w:w="1247"/>
        <w:gridCol w:w="1247"/>
        <w:gridCol w:w="1701"/>
        <w:gridCol w:w="19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73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序号</w:t>
            </w:r>
          </w:p>
        </w:tc>
        <w:tc>
          <w:tcPr>
            <w:tcW w:w="1701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服务需求</w:t>
            </w:r>
          </w:p>
        </w:tc>
        <w:tc>
          <w:tcPr>
            <w:tcW w:w="124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服务时间及方式</w:t>
            </w:r>
          </w:p>
        </w:tc>
        <w:tc>
          <w:tcPr>
            <w:tcW w:w="124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参与服务</w:t>
            </w:r>
          </w:p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专家人次</w:t>
            </w:r>
          </w:p>
        </w:tc>
        <w:tc>
          <w:tcPr>
            <w:tcW w:w="124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服务次数</w:t>
            </w:r>
          </w:p>
        </w:tc>
        <w:tc>
          <w:tcPr>
            <w:tcW w:w="124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单次</w:t>
            </w:r>
          </w:p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投入费用</w:t>
            </w:r>
          </w:p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（万元）</w:t>
            </w:r>
          </w:p>
        </w:tc>
        <w:tc>
          <w:tcPr>
            <w:tcW w:w="124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为企业</w:t>
            </w:r>
          </w:p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节约费用</w:t>
            </w:r>
          </w:p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（万元）</w:t>
            </w:r>
          </w:p>
        </w:tc>
        <w:tc>
          <w:tcPr>
            <w:tcW w:w="124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为企业</w:t>
            </w:r>
          </w:p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增长利润</w:t>
            </w:r>
          </w:p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（万元）</w:t>
            </w:r>
          </w:p>
        </w:tc>
        <w:tc>
          <w:tcPr>
            <w:tcW w:w="1701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服务成效</w:t>
            </w:r>
          </w:p>
        </w:tc>
        <w:tc>
          <w:tcPr>
            <w:tcW w:w="1985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其他成效</w:t>
            </w:r>
          </w:p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（新增就业岗位数、拉动投资，增加产值等）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73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701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24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24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24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24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24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24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701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985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73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701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24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24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24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24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24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24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701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985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73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701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24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24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24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24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24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24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701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985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73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701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24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24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24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24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24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247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701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985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sz w:val="24"/>
              </w:rPr>
            </w:pPr>
          </w:p>
        </w:tc>
      </w:tr>
    </w:tbl>
    <w:p>
      <w:pPr>
        <w:overflowPunct w:val="0"/>
        <w:adjustRightInd w:val="0"/>
        <w:snapToGrid w:val="0"/>
        <w:spacing w:before="60"/>
        <w:rPr>
          <w:rFonts w:ascii="楷体_GB2312" w:hAnsi="楷体_GB2312" w:eastAsia="楷体_GB2312" w:cs="楷体_GB2312"/>
          <w:sz w:val="24"/>
        </w:rPr>
      </w:pPr>
      <w:r>
        <w:rPr>
          <w:rFonts w:hint="eastAsia" w:ascii="楷体_GB2312" w:hAnsi="楷体_GB2312" w:eastAsia="楷体_GB2312" w:cs="楷体_GB2312"/>
          <w:sz w:val="24"/>
        </w:rPr>
        <w:t>填表说明：</w:t>
      </w:r>
    </w:p>
    <w:p>
      <w:pPr>
        <w:overflowPunct w:val="0"/>
        <w:adjustRightInd w:val="0"/>
        <w:snapToGrid w:val="0"/>
        <w:ind w:firstLine="476"/>
        <w:rPr>
          <w:rFonts w:ascii="楷体_GB2312" w:hAnsi="楷体_GB2312" w:eastAsia="楷体_GB2312" w:cs="楷体_GB2312"/>
          <w:sz w:val="24"/>
        </w:rPr>
      </w:pPr>
      <w:r>
        <w:rPr>
          <w:rFonts w:hint="eastAsia" w:ascii="楷体_GB2312" w:hAnsi="楷体_GB2312" w:eastAsia="楷体_GB2312" w:cs="楷体_GB2312"/>
          <w:sz w:val="24"/>
        </w:rPr>
        <w:t>1．“服务方式”包括：集中培训、上门指导、专家指导和其他方式（需注明具体内容）；</w:t>
      </w:r>
    </w:p>
    <w:p>
      <w:pPr>
        <w:overflowPunct w:val="0"/>
        <w:adjustRightInd w:val="0"/>
        <w:snapToGrid w:val="0"/>
        <w:ind w:firstLine="476"/>
        <w:rPr>
          <w:rFonts w:ascii="楷体_GB2312" w:hAnsi="楷体_GB2312" w:eastAsia="楷体_GB2312" w:cs="楷体_GB2312"/>
          <w:sz w:val="24"/>
        </w:rPr>
      </w:pPr>
      <w:r>
        <w:rPr>
          <w:rFonts w:hint="eastAsia" w:ascii="楷体_GB2312" w:hAnsi="楷体_GB2312" w:eastAsia="楷体_GB2312" w:cs="楷体_GB2312"/>
          <w:sz w:val="24"/>
        </w:rPr>
        <w:t>2．“服务成效”包括：提高产品合格率、通过管理体系认证、提高质量管理水平、支撑制定企业标准或团体标准、其他（需注明具体内容）；</w:t>
      </w:r>
    </w:p>
    <w:p>
      <w:pPr>
        <w:overflowPunct w:val="0"/>
        <w:adjustRightInd w:val="0"/>
        <w:snapToGrid w:val="0"/>
        <w:ind w:firstLine="476"/>
        <w:rPr>
          <w:rFonts w:ascii="楷体_GB2312" w:hAnsi="楷体_GB2312" w:eastAsia="楷体_GB2312" w:cs="楷体_GB2312"/>
          <w:sz w:val="24"/>
        </w:rPr>
      </w:pPr>
      <w:r>
        <w:rPr>
          <w:rFonts w:hint="eastAsia" w:ascii="楷体_GB2312" w:hAnsi="楷体_GB2312" w:eastAsia="楷体_GB2312" w:cs="楷体_GB2312"/>
          <w:sz w:val="24"/>
        </w:rPr>
        <w:t>3．“为企业节约费用”包括：通过质量基础设施和仪器设施开放共享、减免企业质量技术服务等方式，为企业减少或节约的费用；</w:t>
      </w:r>
    </w:p>
    <w:p>
      <w:pPr>
        <w:overflowPunct w:val="0"/>
        <w:adjustRightInd w:val="0"/>
        <w:snapToGrid w:val="0"/>
        <w:ind w:firstLine="476"/>
        <w:rPr>
          <w:rFonts w:ascii="楷体_GB2312" w:hAnsi="楷体_GB2312" w:eastAsia="楷体_GB2312" w:cs="楷体_GB2312"/>
          <w:sz w:val="24"/>
        </w:rPr>
      </w:pPr>
      <w:r>
        <w:rPr>
          <w:rFonts w:hint="eastAsia" w:ascii="楷体_GB2312" w:hAnsi="楷体_GB2312" w:eastAsia="楷体_GB2312" w:cs="楷体_GB2312"/>
          <w:sz w:val="24"/>
        </w:rPr>
        <w:t>4．“为企业增长利润”包括：通过质量改进等方式，为企业新增的利润。</w:t>
      </w:r>
    </w:p>
    <w:p>
      <w:pPr>
        <w:overflowPunct w:val="0"/>
        <w:adjustRightInd w:val="0"/>
        <w:snapToGrid w:val="0"/>
        <w:ind w:firstLine="476"/>
        <w:rPr>
          <w:rFonts w:ascii="楷体_GB2312" w:hAnsi="楷体_GB2312" w:eastAsia="楷体_GB2312" w:cs="楷体_GB2312"/>
          <w:sz w:val="24"/>
        </w:rPr>
        <w:sectPr>
          <w:pgSz w:w="16838" w:h="11906" w:orient="landscape"/>
          <w:pgMar w:top="1587" w:right="1644" w:bottom="1474" w:left="1644" w:header="851" w:footer="907" w:gutter="0"/>
          <w:cols w:space="0" w:num="1"/>
          <w:docGrid w:type="linesAndChars" w:linePitch="589" w:charSpace="-842"/>
        </w:sectPr>
      </w:pPr>
    </w:p>
    <w:p>
      <w:pPr>
        <w:tabs>
          <w:tab w:val="left" w:pos="790"/>
          <w:tab w:val="left" w:pos="1264"/>
        </w:tabs>
        <w:overflowPunct w:val="0"/>
        <w:adjustRightInd w:val="0"/>
        <w:snapToGrid w:val="0"/>
        <w:spacing w:line="336" w:lineRule="auto"/>
        <w:ind w:firstLine="624"/>
        <w:rPr>
          <w:rFonts w:hint="eastAsia" w:hAnsi="宋体"/>
          <w:szCs w:val="3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left="312" w:right="312"/>
      <w:jc w:val="right"/>
      <w:rPr>
        <w:rFonts w:ascii="宋体" w:hAnsi="宋体" w:eastAsia="宋体"/>
        <w:sz w:val="28"/>
        <w:szCs w:val="28"/>
      </w:rPr>
    </w:pPr>
    <w:r>
      <w:rPr>
        <w:rFonts w:hAnsi="宋体"/>
        <w:szCs w:val="30"/>
      </w:rPr>
      <mc:AlternateContent>
        <mc:Choice Requires="wps">
          <w:drawing>
            <wp:anchor distT="0" distB="0" distL="114300" distR="114300" simplePos="0" relativeHeight="251658240" behindDoc="0" locked="1" layoutInCell="1" allowOverlap="1">
              <wp:simplePos x="0" y="0"/>
              <wp:positionH relativeFrom="margin">
                <wp:posOffset>-467995</wp:posOffset>
              </wp:positionH>
              <wp:positionV relativeFrom="margin">
                <wp:align>bottom</wp:align>
              </wp:positionV>
              <wp:extent cx="311150" cy="108204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311150" cy="10820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ind w:left="312" w:right="312"/>
                            <w:jc w:val="right"/>
                            <w:rPr>
                              <w:rFonts w:ascii="宋体" w:hAnsi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/>
                              <w:sz w:val="28"/>
                              <w:szCs w:val="28"/>
                            </w:rPr>
                            <w:instrText xml:space="preserve"> PAGE </w:instrText>
                          </w:r>
                          <w:r>
                            <w:rPr>
                              <w:rFonts w:hint="eastAsia"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t>9</w:t>
                          </w:r>
                          <w:r>
                            <w:rPr>
                              <w:rFonts w:hint="eastAsia"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vert="eaVert" wrap="none" lIns="36000" tIns="36000" rIns="36000" bIns="36000" upright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-36.85pt;height:85.2pt;width:24.5pt;mso-position-horizontal-relative:margin;mso-position-vertical:bottom;mso-position-vertical-relative:margin;mso-wrap-style:none;z-index:251658240;mso-width-relative:page;mso-height-relative:page;" filled="f" stroked="f" coordsize="21600,21600" o:gfxdata="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BYAAABkcnMvUEsBAhQAFAAAAAgAh07iQAsBnRrXAAAACAEAAA8AAAAAAAAA&#10;AQAgAAAAOAAAAGRycy9kb3ducmV2LnhtbFBLAQIUABQAAAAIAIdO4kAUubGHwwEAAG4DAAAOAAAA&#10;AAAAAAEAIAAAADwBAABkcnMvZTJvRG9jLnhtbFBLBQYAAAAABgAGAFkBAABxBQAAAAA=&#10;">
              <v:fill on="f" focussize="0,0"/>
              <v:stroke on="f"/>
              <v:imagedata o:title=""/>
              <o:lock v:ext="edit" aspectratio="f"/>
              <v:textbox inset="1mm,1mm,1mm,1mm" style="layout-flow:vertical-ideographic;mso-fit-shape-to-text:t;">
                <w:txbxContent>
                  <w:p>
                    <w:pPr>
                      <w:pStyle w:val="3"/>
                      <w:ind w:left="312" w:right="312"/>
                      <w:jc w:val="right"/>
                      <w:rPr>
                        <w:rFonts w:ascii="宋体" w:hAnsi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/>
                        <w:sz w:val="28"/>
                        <w:szCs w:val="28"/>
                      </w:rPr>
                      <w:instrText xml:space="preserve"> PAGE </w:instrText>
                    </w:r>
                    <w:r>
                      <w:rPr>
                        <w:rFonts w:hint="eastAsia"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t>9</w:t>
                    </w:r>
                    <w:r>
                      <w:rPr>
                        <w:rFonts w:hint="eastAsia" w:ascii="宋体" w:hAnsi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left="312" w:right="312"/>
      <w:jc w:val="both"/>
      <w:rPr>
        <w:rFonts w:ascii="宋体" w:hAnsi="宋体" w:eastAsia="宋体"/>
        <w:sz w:val="28"/>
        <w:szCs w:val="28"/>
      </w:rPr>
    </w:pPr>
    <w:r>
      <w:rPr>
        <w:rFonts w:hAnsi="宋体"/>
        <w:szCs w:val="30"/>
      </w:rPr>
      <mc:AlternateContent>
        <mc:Choice Requires="wps">
          <w:drawing>
            <wp:anchor distT="0" distB="0" distL="114300" distR="114300" simplePos="0" relativeHeight="251659264" behindDoc="0" locked="1" layoutInCell="1" allowOverlap="1">
              <wp:simplePos x="0" y="0"/>
              <wp:positionH relativeFrom="margin">
                <wp:posOffset>-467995</wp:posOffset>
              </wp:positionH>
              <wp:positionV relativeFrom="margin">
                <wp:align>top</wp:align>
              </wp:positionV>
              <wp:extent cx="311150" cy="108204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311150" cy="10820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ind w:left="312" w:right="312"/>
                            <w:jc w:val="right"/>
                            <w:rPr>
                              <w:rFonts w:ascii="宋体" w:hAnsi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/>
                              <w:sz w:val="28"/>
                              <w:szCs w:val="28"/>
                            </w:rPr>
                            <w:instrText xml:space="preserve"> PAGE </w:instrText>
                          </w:r>
                          <w:r>
                            <w:rPr>
                              <w:rFonts w:hint="eastAsia"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t>6</w:t>
                          </w:r>
                          <w:r>
                            <w:rPr>
                              <w:rFonts w:hint="eastAsia"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vert="eaVert" wrap="none" lIns="36000" tIns="36000" rIns="36000" bIns="36000" upright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-36.85pt;height:85.2pt;width:24.5pt;mso-position-horizontal-relative:margin;mso-position-vertical:top;mso-position-vertical-relative:margin;mso-wrap-style:none;z-index:251659264;mso-width-relative:page;mso-height-relative:page;" filled="f" stroked="f" coordsize="21600,21600" o:gfxdata="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">
              <v:fill on="f" focussize="0,0"/>
              <v:stroke on="f"/>
              <v:imagedata o:title=""/>
              <o:lock v:ext="edit" aspectratio="f"/>
              <v:textbox inset="1mm,1mm,1mm,1mm" style="layout-flow:vertical-ideographic;mso-fit-shape-to-text:t;">
                <w:txbxContent>
                  <w:p>
                    <w:pPr>
                      <w:pStyle w:val="3"/>
                      <w:ind w:left="312" w:right="312"/>
                      <w:jc w:val="right"/>
                      <w:rPr>
                        <w:rFonts w:ascii="宋体" w:hAnsi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/>
                        <w:sz w:val="28"/>
                        <w:szCs w:val="28"/>
                      </w:rPr>
                      <w:instrText xml:space="preserve"> PAGE </w:instrText>
                    </w:r>
                    <w:r>
                      <w:rPr>
                        <w:rFonts w:hint="eastAsia"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t>6</w:t>
                    </w:r>
                    <w:r>
                      <w:rPr>
                        <w:rFonts w:hint="eastAsia" w:ascii="宋体" w:hAnsi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  <w10:anchorlock/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27F253E"/>
    <w:multiLevelType w:val="singleLevel"/>
    <w:tmpl w:val="B27F253E"/>
    <w:lvl w:ilvl="0" w:tentative="0">
      <w:start w:val="1"/>
      <w:numFmt w:val="decimal"/>
      <w:suff w:val="nothing"/>
      <w:lvlText w:val="（%1）"/>
      <w:lvlJc w:val="left"/>
    </w:lvl>
  </w:abstractNum>
  <w:abstractNum w:abstractNumId="1">
    <w:nsid w:val="B6F51325"/>
    <w:multiLevelType w:val="singleLevel"/>
    <w:tmpl w:val="B6F51325"/>
    <w:lvl w:ilvl="0" w:tentative="0">
      <w:start w:val="1"/>
      <w:numFmt w:val="decimal"/>
      <w:suff w:val="nothing"/>
      <w:lvlText w:val="（%1）"/>
      <w:lvlJc w:val="left"/>
    </w:lvl>
  </w:abstractNum>
  <w:abstractNum w:abstractNumId="2">
    <w:nsid w:val="C7EFB133"/>
    <w:multiLevelType w:val="singleLevel"/>
    <w:tmpl w:val="C7EFB133"/>
    <w:lvl w:ilvl="0" w:tentative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3">
    <w:nsid w:val="EDDF8497"/>
    <w:multiLevelType w:val="singleLevel"/>
    <w:tmpl w:val="EDDF8497"/>
    <w:lvl w:ilvl="0" w:tentative="0">
      <w:start w:val="1"/>
      <w:numFmt w:val="decimal"/>
      <w:suff w:val="space"/>
      <w:lvlText w:val="%1."/>
      <w:lvlJc w:val="left"/>
    </w:lvl>
  </w:abstractNum>
  <w:abstractNum w:abstractNumId="4">
    <w:nsid w:val="3EFF9C57"/>
    <w:multiLevelType w:val="singleLevel"/>
    <w:tmpl w:val="3EFF9C57"/>
    <w:lvl w:ilvl="0" w:tentative="0">
      <w:start w:val="1"/>
      <w:numFmt w:val="decimal"/>
      <w:suff w:val="nothing"/>
      <w:lvlText w:val="（%1）"/>
      <w:lvlJc w:val="left"/>
    </w:lvl>
  </w:abstractNum>
  <w:abstractNum w:abstractNumId="5">
    <w:nsid w:val="6029668F"/>
    <w:multiLevelType w:val="multilevel"/>
    <w:tmpl w:val="6029668F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  <w:lvl w:ilvl="1" w:tentative="0">
      <w:start w:val="1"/>
      <w:numFmt w:val="decimal"/>
      <w:pStyle w:val="2"/>
      <w:isLgl/>
      <w:lvlText w:val="%1.%2."/>
      <w:lvlJc w:val="left"/>
      <w:pPr>
        <w:ind w:left="567" w:hanging="567"/>
      </w:pPr>
      <w:rPr>
        <w:rFonts w:hint="default" w:ascii="宋体" w:hAnsi="宋体" w:eastAsia="宋体" w:cs="宋体"/>
      </w:rPr>
    </w:lvl>
    <w:lvl w:ilvl="2" w:tentative="0">
      <w:start w:val="1"/>
      <w:numFmt w:val="decimal"/>
      <w:isLgl/>
      <w:lvlText w:val="%1.%2.%3."/>
      <w:lvlJc w:val="left"/>
      <w:pPr>
        <w:ind w:left="709" w:hanging="709"/>
      </w:pPr>
      <w:rPr>
        <w:rFonts w:hint="default" w:ascii="宋体" w:hAnsi="宋体" w:eastAsia="宋体" w:cs="宋体"/>
      </w:rPr>
    </w:lvl>
    <w:lvl w:ilvl="3" w:tentative="0">
      <w:start w:val="1"/>
      <w:numFmt w:val="decimal"/>
      <w:lvlText w:val="%1.%2.%3.%4."/>
      <w:lvlJc w:val="left"/>
      <w:pPr>
        <w:ind w:left="850" w:hanging="850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991" w:hanging="991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1134" w:hanging="1134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1275" w:hanging="1275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1418" w:hanging="1418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1558" w:hanging="1558"/>
      </w:pPr>
      <w:rPr>
        <w:rFonts w:hint="default"/>
      </w:rPr>
    </w:lvl>
  </w:abstractNum>
  <w:abstractNum w:abstractNumId="6">
    <w:nsid w:val="65FE319A"/>
    <w:multiLevelType w:val="singleLevel"/>
    <w:tmpl w:val="65FE319A"/>
    <w:lvl w:ilvl="0" w:tentative="0">
      <w:start w:val="13"/>
      <w:numFmt w:val="decimal"/>
      <w:suff w:val="nothing"/>
      <w:lvlText w:val="%1）"/>
      <w:lvlJc w:val="left"/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0"/>
  </w:num>
  <w:num w:numId="5">
    <w:abstractNumId w:val="1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true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EA88E8"/>
    <w:rsid w:val="1D7FAB3D"/>
    <w:rsid w:val="27BF06CD"/>
    <w:rsid w:val="27FD0276"/>
    <w:rsid w:val="2EFA18A4"/>
    <w:rsid w:val="2FFDAB34"/>
    <w:rsid w:val="337F801A"/>
    <w:rsid w:val="3777CBB8"/>
    <w:rsid w:val="39DEDC16"/>
    <w:rsid w:val="3AB61DFA"/>
    <w:rsid w:val="3ADD4B9D"/>
    <w:rsid w:val="3BDF5565"/>
    <w:rsid w:val="3BFD9C91"/>
    <w:rsid w:val="3F3F649B"/>
    <w:rsid w:val="3FCE2C74"/>
    <w:rsid w:val="3FD52793"/>
    <w:rsid w:val="3FDF2546"/>
    <w:rsid w:val="4B7FC81F"/>
    <w:rsid w:val="4FBBA9B5"/>
    <w:rsid w:val="52F57BCF"/>
    <w:rsid w:val="52FB3D6A"/>
    <w:rsid w:val="55FD6496"/>
    <w:rsid w:val="579D93DF"/>
    <w:rsid w:val="5BFE6745"/>
    <w:rsid w:val="5BFFE226"/>
    <w:rsid w:val="5D9ECDAE"/>
    <w:rsid w:val="5EE30EC1"/>
    <w:rsid w:val="5FEEAD02"/>
    <w:rsid w:val="5FFF3BF4"/>
    <w:rsid w:val="6BEAE04F"/>
    <w:rsid w:val="6DDF273F"/>
    <w:rsid w:val="6E5FA083"/>
    <w:rsid w:val="6EFFDDDD"/>
    <w:rsid w:val="6FDF7B3A"/>
    <w:rsid w:val="6FEF6A57"/>
    <w:rsid w:val="6FFBBC6D"/>
    <w:rsid w:val="6FFFE4D7"/>
    <w:rsid w:val="71684454"/>
    <w:rsid w:val="727F8CCA"/>
    <w:rsid w:val="732BA093"/>
    <w:rsid w:val="75FAF07D"/>
    <w:rsid w:val="77EA88E8"/>
    <w:rsid w:val="77FA9606"/>
    <w:rsid w:val="79FD0A5A"/>
    <w:rsid w:val="79FFE660"/>
    <w:rsid w:val="7A7E549D"/>
    <w:rsid w:val="7B865727"/>
    <w:rsid w:val="7B993688"/>
    <w:rsid w:val="7BDF2471"/>
    <w:rsid w:val="7F36E506"/>
    <w:rsid w:val="7F47599F"/>
    <w:rsid w:val="7F57D520"/>
    <w:rsid w:val="7F67F883"/>
    <w:rsid w:val="7FBF4CF2"/>
    <w:rsid w:val="7FC7874A"/>
    <w:rsid w:val="7FEC3D0E"/>
    <w:rsid w:val="7FEF3319"/>
    <w:rsid w:val="7FF55823"/>
    <w:rsid w:val="7FFF3231"/>
    <w:rsid w:val="91F7C2F0"/>
    <w:rsid w:val="97FF1E67"/>
    <w:rsid w:val="AAEB0C58"/>
    <w:rsid w:val="ABE71867"/>
    <w:rsid w:val="ACFBF51D"/>
    <w:rsid w:val="AFE93BA0"/>
    <w:rsid w:val="AFFF4C23"/>
    <w:rsid w:val="B5FFE517"/>
    <w:rsid w:val="B6BD57EE"/>
    <w:rsid w:val="B77E99B9"/>
    <w:rsid w:val="B7FB64B7"/>
    <w:rsid w:val="BBD76347"/>
    <w:rsid w:val="BDAF57D7"/>
    <w:rsid w:val="C6D9C8E3"/>
    <w:rsid w:val="C6DD1ED1"/>
    <w:rsid w:val="CBE227F7"/>
    <w:rsid w:val="CBFF3D8A"/>
    <w:rsid w:val="CDEF0C76"/>
    <w:rsid w:val="CE5FE225"/>
    <w:rsid w:val="CEFED3AA"/>
    <w:rsid w:val="CFDF8DB9"/>
    <w:rsid w:val="CFF77ECA"/>
    <w:rsid w:val="D3DF1D75"/>
    <w:rsid w:val="D3EE8B88"/>
    <w:rsid w:val="D3FF5BCD"/>
    <w:rsid w:val="DBFD8DDA"/>
    <w:rsid w:val="DDDE7E9B"/>
    <w:rsid w:val="DE2FD955"/>
    <w:rsid w:val="DFD7E004"/>
    <w:rsid w:val="DFF6449F"/>
    <w:rsid w:val="DFFFC202"/>
    <w:rsid w:val="E1DE4C3A"/>
    <w:rsid w:val="E8BE5167"/>
    <w:rsid w:val="E8EF2AE7"/>
    <w:rsid w:val="EB7F78CB"/>
    <w:rsid w:val="ECD756C9"/>
    <w:rsid w:val="ED377F59"/>
    <w:rsid w:val="ED4FF551"/>
    <w:rsid w:val="EEFF5CB7"/>
    <w:rsid w:val="EF9D4F67"/>
    <w:rsid w:val="EF9F8E26"/>
    <w:rsid w:val="EFCF58C9"/>
    <w:rsid w:val="F2730E2E"/>
    <w:rsid w:val="F2FFA965"/>
    <w:rsid w:val="F3243C06"/>
    <w:rsid w:val="F3FD4ED0"/>
    <w:rsid w:val="F4F71D5B"/>
    <w:rsid w:val="F66E3205"/>
    <w:rsid w:val="F6CC9A7F"/>
    <w:rsid w:val="F6CFA99D"/>
    <w:rsid w:val="F6F7637C"/>
    <w:rsid w:val="F6FA94B8"/>
    <w:rsid w:val="F75DD14B"/>
    <w:rsid w:val="F7FDEDA5"/>
    <w:rsid w:val="FB7F5F05"/>
    <w:rsid w:val="FBE727AA"/>
    <w:rsid w:val="FBE746BB"/>
    <w:rsid w:val="FBFEC915"/>
    <w:rsid w:val="FBFF07F1"/>
    <w:rsid w:val="FDBEC364"/>
    <w:rsid w:val="FDFF592E"/>
    <w:rsid w:val="FE6F9A7C"/>
    <w:rsid w:val="FEBD1F75"/>
    <w:rsid w:val="FEF780F4"/>
    <w:rsid w:val="FEFF8CA2"/>
    <w:rsid w:val="FEFF99C4"/>
    <w:rsid w:val="FF8DA4BD"/>
    <w:rsid w:val="FF9E62A8"/>
    <w:rsid w:val="FF9F9260"/>
    <w:rsid w:val="FFD6ADA8"/>
    <w:rsid w:val="FFD8B797"/>
    <w:rsid w:val="FFDEDA71"/>
    <w:rsid w:val="FFEF3409"/>
    <w:rsid w:val="FFEFD2FF"/>
    <w:rsid w:val="FFFDC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仿宋_GB2312" w:hAnsi="仿宋_GB2312" w:eastAsia="仿宋_GB2312" w:cs="Times New Roman"/>
      <w:kern w:val="2"/>
      <w:sz w:val="32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numPr>
        <w:ilvl w:val="1"/>
        <w:numId w:val="1"/>
      </w:numPr>
      <w:tabs>
        <w:tab w:val="left" w:pos="420"/>
      </w:tabs>
      <w:adjustRightInd w:val="0"/>
      <w:snapToGrid w:val="0"/>
      <w:spacing w:line="288" w:lineRule="auto"/>
      <w:outlineLvl w:val="1"/>
    </w:pPr>
    <w:rPr>
      <w:rFonts w:ascii="仿宋" w:hAnsi="仿宋" w:eastAsia="仿宋" w:cs="宋体"/>
      <w:b/>
      <w:sz w:val="24"/>
      <w:szCs w:val="32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Hyperlink"/>
    <w:basedOn w:val="6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14</TotalTime>
  <ScaleCrop>false</ScaleCrop>
  <LinksUpToDate>false</LinksUpToDate>
  <CharactersWithSpaces>0</CharactersWithSpaces>
  <Application>WPS Office_11.8.2.10195_F1E327BC-269C-435d-A152-05C5408002CA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2024-01-15T09:45:00Z</dcterms:created>
  <dc:creator>user</dc:creator>
  <cp:lastModifiedBy>user</cp:lastModifiedBy>
  <dcterms:modified xsi:type="dcterms:W3CDTF">2024-04-25T16:17:05Z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2052-11.8.2.10195</vt:lpwstr>
  </property>
</Properties>
</file>