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left"/>
        <w:textAlignment w:val="auto"/>
        <w:rPr>
          <w:rFonts w:hint="eastAsia" w:ascii="黑体" w:hAnsi="黑体" w:eastAsia="黑体" w:cs="黑体"/>
          <w:i w:val="0"/>
          <w:iCs w:val="0"/>
          <w:caps w:val="0"/>
          <w:color w:val="000000"/>
          <w:spacing w:val="0"/>
          <w:kern w:val="0"/>
          <w:sz w:val="32"/>
          <w:szCs w:val="32"/>
          <w:lang w:val="en-US" w:eastAsia="zh-CN" w:bidi="ar"/>
        </w:rPr>
      </w:pPr>
      <w:r>
        <w:rPr>
          <w:rFonts w:hint="eastAsia" w:ascii="黑体" w:hAnsi="黑体" w:eastAsia="黑体" w:cs="黑体"/>
          <w:i w:val="0"/>
          <w:iCs w:val="0"/>
          <w:caps w:val="0"/>
          <w:color w:val="000000"/>
          <w:spacing w:val="0"/>
          <w:kern w:val="0"/>
          <w:sz w:val="32"/>
          <w:szCs w:val="32"/>
          <w:lang w:val="en-US" w:eastAsia="zh-CN" w:bidi="ar"/>
        </w:rPr>
        <w:t>附件1</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center"/>
        <w:textAlignment w:val="auto"/>
        <w:rPr>
          <w:rFonts w:hint="eastAsia" w:ascii="方正小标宋简体" w:hAnsi="方正小标宋简体" w:eastAsia="方正小标宋简体" w:cs="方正小标宋简体"/>
          <w:b w:val="0"/>
          <w:bCs w:val="0"/>
          <w:i w:val="0"/>
          <w:iCs w:val="0"/>
          <w:caps w:val="0"/>
          <w:color w:val="000000"/>
          <w:spacing w:val="0"/>
          <w:kern w:val="0"/>
          <w:sz w:val="40"/>
          <w:szCs w:val="40"/>
          <w:lang w:val="en-US" w:eastAsia="zh-CN" w:bidi="ar"/>
        </w:rPr>
      </w:pPr>
      <w:r>
        <w:rPr>
          <w:rFonts w:hint="eastAsia" w:ascii="方正小标宋简体" w:hAnsi="方正小标宋简体" w:eastAsia="方正小标宋简体" w:cs="方正小标宋简体"/>
          <w:b w:val="0"/>
          <w:bCs w:val="0"/>
          <w:i w:val="0"/>
          <w:iCs w:val="0"/>
          <w:caps w:val="0"/>
          <w:color w:val="000000"/>
          <w:spacing w:val="0"/>
          <w:kern w:val="0"/>
          <w:sz w:val="40"/>
          <w:szCs w:val="40"/>
          <w:lang w:val="en-US" w:eastAsia="zh-CN" w:bidi="ar"/>
        </w:rPr>
        <w:t>2024年崇明区水稻生产主推技术汇总表</w:t>
      </w:r>
      <w:bookmarkStart w:id="2" w:name="_GoBack"/>
      <w:bookmarkEnd w:id="2"/>
    </w:p>
    <w:tbl>
      <w:tblPr>
        <w:tblStyle w:val="4"/>
        <w:tblpPr w:leftFromText="180" w:rightFromText="180" w:vertAnchor="text" w:horzAnchor="page" w:tblpXSpec="center" w:tblpY="553"/>
        <w:tblOverlap w:val="never"/>
        <w:tblW w:w="9742" w:type="dxa"/>
        <w:jc w:val="center"/>
        <w:tblInd w:w="24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32"/>
        <w:gridCol w:w="4902"/>
        <w:gridCol w:w="400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Ex>
        <w:trPr>
          <w:trHeight w:val="600" w:hRule="atLeast"/>
          <w:jc w:val="center"/>
        </w:trPr>
        <w:tc>
          <w:tcPr>
            <w:tcW w:w="8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黑体" w:cs="Times New Roman"/>
                <w:b w:val="0"/>
                <w:bCs w:val="0"/>
                <w:i w:val="0"/>
                <w:iCs w:val="0"/>
                <w:color w:val="000000"/>
                <w:sz w:val="28"/>
                <w:szCs w:val="28"/>
                <w:u w:val="none"/>
              </w:rPr>
            </w:pPr>
            <w:r>
              <w:rPr>
                <w:rFonts w:hint="default" w:ascii="Times New Roman" w:hAnsi="Times New Roman" w:eastAsia="黑体" w:cs="Times New Roman"/>
                <w:b w:val="0"/>
                <w:bCs w:val="0"/>
                <w:i w:val="0"/>
                <w:iCs w:val="0"/>
                <w:color w:val="000000"/>
                <w:kern w:val="0"/>
                <w:sz w:val="28"/>
                <w:szCs w:val="28"/>
                <w:u w:val="none"/>
                <w:lang w:val="en-US" w:eastAsia="zh-CN" w:bidi="ar"/>
              </w:rPr>
              <w:t>序号</w:t>
            </w:r>
          </w:p>
        </w:tc>
        <w:tc>
          <w:tcPr>
            <w:tcW w:w="49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黑体" w:cs="Times New Roman"/>
                <w:b w:val="0"/>
                <w:bCs w:val="0"/>
                <w:i w:val="0"/>
                <w:iCs w:val="0"/>
                <w:color w:val="000000"/>
                <w:sz w:val="28"/>
                <w:szCs w:val="28"/>
                <w:u w:val="none"/>
              </w:rPr>
            </w:pPr>
            <w:r>
              <w:rPr>
                <w:rFonts w:hint="default" w:ascii="Times New Roman" w:hAnsi="Times New Roman" w:eastAsia="黑体" w:cs="Times New Roman"/>
                <w:b w:val="0"/>
                <w:bCs w:val="0"/>
                <w:i w:val="0"/>
                <w:iCs w:val="0"/>
                <w:color w:val="000000"/>
                <w:kern w:val="0"/>
                <w:sz w:val="28"/>
                <w:szCs w:val="28"/>
                <w:u w:val="none"/>
                <w:lang w:val="en-US" w:eastAsia="zh-CN" w:bidi="ar"/>
              </w:rPr>
              <w:t>主推技术名称</w:t>
            </w:r>
          </w:p>
        </w:tc>
        <w:tc>
          <w:tcPr>
            <w:tcW w:w="40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Times New Roman" w:hAnsi="Times New Roman" w:eastAsia="黑体" w:cs="Times New Roman"/>
                <w:b w:val="0"/>
                <w:bCs w:val="0"/>
                <w:i w:val="0"/>
                <w:iCs w:val="0"/>
                <w:color w:val="000000"/>
                <w:sz w:val="28"/>
                <w:szCs w:val="28"/>
                <w:u w:val="none"/>
              </w:rPr>
            </w:pPr>
            <w:r>
              <w:rPr>
                <w:rFonts w:hint="default" w:ascii="Times New Roman" w:hAnsi="Times New Roman" w:eastAsia="黑体" w:cs="Times New Roman"/>
                <w:b w:val="0"/>
                <w:bCs w:val="0"/>
                <w:i w:val="0"/>
                <w:iCs w:val="0"/>
                <w:color w:val="000000"/>
                <w:kern w:val="0"/>
                <w:sz w:val="28"/>
                <w:szCs w:val="28"/>
                <w:u w:val="none"/>
                <w:lang w:val="en-US" w:eastAsia="zh-CN" w:bidi="ar"/>
              </w:rPr>
              <w:t>依托单位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37" w:hRule="atLeast"/>
          <w:jc w:val="center"/>
        </w:trPr>
        <w:tc>
          <w:tcPr>
            <w:tcW w:w="8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1</w:t>
            </w:r>
          </w:p>
        </w:tc>
        <w:tc>
          <w:tcPr>
            <w:tcW w:w="49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2024年崇明区水稻机械化穴直播技术</w:t>
            </w:r>
          </w:p>
        </w:tc>
        <w:tc>
          <w:tcPr>
            <w:tcW w:w="40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上海市崇明区农业技术推广中心</w:t>
            </w:r>
          </w:p>
          <w:p>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上海市崇明区农业质量安全中心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37" w:hRule="atLeast"/>
          <w:jc w:val="center"/>
        </w:trPr>
        <w:tc>
          <w:tcPr>
            <w:tcW w:w="8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2</w:t>
            </w:r>
          </w:p>
        </w:tc>
        <w:tc>
          <w:tcPr>
            <w:tcW w:w="49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2024年崇明区水稻机械化育插秧技术</w:t>
            </w:r>
          </w:p>
        </w:tc>
        <w:tc>
          <w:tcPr>
            <w:tcW w:w="40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上海市崇明区农业技术推广中心</w:t>
            </w:r>
          </w:p>
          <w:p>
            <w:pPr>
              <w:keepNext w:val="0"/>
              <w:keepLines w:val="0"/>
              <w:widowControl/>
              <w:suppressLineNumbers w:val="0"/>
              <w:jc w:val="center"/>
              <w:textAlignment w:val="center"/>
              <w:rPr>
                <w:rFonts w:hint="eastAsia" w:ascii="仿宋_GB2312" w:hAnsi="仿宋_GB2312" w:eastAsia="仿宋_GB2312" w:cs="仿宋_GB2312"/>
                <w:i w:val="0"/>
                <w:iCs w:val="0"/>
                <w:color w:val="000000"/>
                <w:kern w:val="0"/>
                <w:sz w:val="24"/>
                <w:szCs w:val="24"/>
                <w:u w:val="none"/>
                <w:lang w:val="en-US" w:eastAsia="zh-CN" w:bidi="ar"/>
              </w:rPr>
            </w:pPr>
            <w:r>
              <w:rPr>
                <w:rFonts w:hint="eastAsia" w:ascii="仿宋_GB2312" w:hAnsi="仿宋_GB2312" w:eastAsia="仿宋_GB2312" w:cs="仿宋_GB2312"/>
                <w:i w:val="0"/>
                <w:iCs w:val="0"/>
                <w:color w:val="000000"/>
                <w:kern w:val="0"/>
                <w:sz w:val="24"/>
                <w:szCs w:val="24"/>
                <w:u w:val="none"/>
                <w:lang w:val="en-US" w:eastAsia="zh-CN" w:bidi="ar"/>
              </w:rPr>
              <w:t>上海市崇明区农业质量安全中心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37" w:hRule="atLeast"/>
          <w:jc w:val="center"/>
        </w:trPr>
        <w:tc>
          <w:tcPr>
            <w:tcW w:w="8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3</w:t>
            </w:r>
          </w:p>
        </w:tc>
        <w:tc>
          <w:tcPr>
            <w:tcW w:w="49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lang w:val="en-US"/>
              </w:rPr>
            </w:pPr>
            <w:r>
              <w:rPr>
                <w:rFonts w:hint="eastAsia" w:ascii="仿宋_GB2312" w:hAnsi="仿宋_GB2312" w:eastAsia="仿宋_GB2312" w:cs="仿宋_GB2312"/>
                <w:i w:val="0"/>
                <w:iCs w:val="0"/>
                <w:color w:val="000000"/>
                <w:kern w:val="0"/>
                <w:sz w:val="24"/>
                <w:szCs w:val="24"/>
                <w:u w:val="none"/>
                <w:lang w:val="en-US" w:eastAsia="zh-CN" w:bidi="ar"/>
              </w:rPr>
              <w:t>2024年崇明区水稻栽培管理技术</w:t>
            </w:r>
          </w:p>
        </w:tc>
        <w:tc>
          <w:tcPr>
            <w:tcW w:w="40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上海市崇明区农业技术推广中心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37" w:hRule="atLeast"/>
          <w:jc w:val="center"/>
        </w:trPr>
        <w:tc>
          <w:tcPr>
            <w:tcW w:w="8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4</w:t>
            </w:r>
          </w:p>
        </w:tc>
        <w:tc>
          <w:tcPr>
            <w:tcW w:w="49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highlight w:val="yellow"/>
                <w:u w:val="none"/>
              </w:rPr>
            </w:pPr>
            <w:r>
              <w:rPr>
                <w:rFonts w:hint="eastAsia" w:ascii="仿宋_GB2312" w:hAnsi="仿宋_GB2312" w:eastAsia="仿宋_GB2312" w:cs="仿宋_GB2312"/>
                <w:i w:val="0"/>
                <w:iCs w:val="0"/>
                <w:color w:val="000000"/>
                <w:kern w:val="0"/>
                <w:sz w:val="24"/>
                <w:szCs w:val="24"/>
                <w:u w:val="none"/>
                <w:lang w:val="en-US" w:eastAsia="zh-CN" w:bidi="ar"/>
              </w:rPr>
              <w:t>2024年崇明区稻田杂草、杂草稻防控技术</w:t>
            </w:r>
          </w:p>
        </w:tc>
        <w:tc>
          <w:tcPr>
            <w:tcW w:w="40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上海市崇明区农业技术推广中心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37" w:hRule="atLeast"/>
          <w:jc w:val="center"/>
        </w:trPr>
        <w:tc>
          <w:tcPr>
            <w:tcW w:w="83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lang w:val="en-US" w:eastAsia="zh-CN"/>
              </w:rPr>
            </w:pPr>
            <w:r>
              <w:rPr>
                <w:rFonts w:hint="eastAsia" w:ascii="仿宋_GB2312" w:hAnsi="仿宋_GB2312" w:eastAsia="仿宋_GB2312" w:cs="仿宋_GB2312"/>
                <w:i w:val="0"/>
                <w:iCs w:val="0"/>
                <w:color w:val="000000"/>
                <w:sz w:val="24"/>
                <w:szCs w:val="24"/>
                <w:u w:val="none"/>
                <w:lang w:val="en-US" w:eastAsia="zh-CN"/>
              </w:rPr>
              <w:t>5</w:t>
            </w:r>
          </w:p>
        </w:tc>
        <w:tc>
          <w:tcPr>
            <w:tcW w:w="490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highlight w:val="yellow"/>
                <w:u w:val="none"/>
              </w:rPr>
            </w:pPr>
            <w:r>
              <w:rPr>
                <w:rFonts w:hint="eastAsia" w:ascii="仿宋_GB2312" w:hAnsi="仿宋_GB2312" w:eastAsia="仿宋_GB2312" w:cs="仿宋_GB2312"/>
                <w:i w:val="0"/>
                <w:iCs w:val="0"/>
                <w:color w:val="000000"/>
                <w:kern w:val="0"/>
                <w:sz w:val="24"/>
                <w:szCs w:val="24"/>
                <w:u w:val="none"/>
                <w:lang w:val="en-US" w:eastAsia="zh-CN" w:bidi="ar"/>
              </w:rPr>
              <w:t>2024年崇明区水稻主要病虫害绿色防控技术</w:t>
            </w:r>
          </w:p>
        </w:tc>
        <w:tc>
          <w:tcPr>
            <w:tcW w:w="400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_GB2312" w:hAnsi="仿宋_GB2312" w:eastAsia="仿宋_GB2312" w:cs="仿宋_GB2312"/>
                <w:i w:val="0"/>
                <w:iCs w:val="0"/>
                <w:color w:val="000000"/>
                <w:sz w:val="24"/>
                <w:szCs w:val="24"/>
                <w:u w:val="none"/>
              </w:rPr>
            </w:pPr>
            <w:r>
              <w:rPr>
                <w:rFonts w:hint="eastAsia" w:ascii="仿宋_GB2312" w:hAnsi="仿宋_GB2312" w:eastAsia="仿宋_GB2312" w:cs="仿宋_GB2312"/>
                <w:i w:val="0"/>
                <w:iCs w:val="0"/>
                <w:color w:val="000000"/>
                <w:kern w:val="0"/>
                <w:sz w:val="24"/>
                <w:szCs w:val="24"/>
                <w:u w:val="none"/>
                <w:lang w:val="en-US" w:eastAsia="zh-CN" w:bidi="ar"/>
              </w:rPr>
              <w:t>上海市崇明区农业技术推广中心</w:t>
            </w:r>
          </w:p>
        </w:tc>
      </w:tr>
    </w:tbl>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left"/>
        <w:textAlignment w:val="auto"/>
        <w:rPr>
          <w:rFonts w:hint="default" w:ascii="仿宋_GB2312" w:hAnsi="仿宋_GB2312" w:eastAsia="仿宋_GB2312" w:cs="仿宋_GB2312"/>
          <w:i w:val="0"/>
          <w:iCs w:val="0"/>
          <w:caps w:val="0"/>
          <w:color w:val="000000"/>
          <w:spacing w:val="0"/>
          <w:kern w:val="0"/>
          <w:sz w:val="32"/>
          <w:szCs w:val="32"/>
          <w:lang w:val="en-US" w:eastAsia="zh-CN" w:bidi="ar"/>
        </w:rPr>
      </w:pPr>
    </w:p>
    <w:p>
      <w:pPr>
        <w:rPr>
          <w:rFonts w:ascii="Calibri" w:hAnsi="Calibri" w:eastAsia="宋体" w:cs="Times New Roman"/>
          <w:color w:val="000000"/>
          <w:szCs w:val="22"/>
        </w:rPr>
      </w:pPr>
    </w:p>
    <w:p>
      <w:pPr>
        <w:rPr>
          <w:rFonts w:ascii="Calibri" w:hAnsi="Calibri" w:eastAsia="宋体" w:cs="Times New Roman"/>
          <w:color w:val="000000"/>
          <w:szCs w:val="22"/>
        </w:rPr>
      </w:pPr>
    </w:p>
    <w:p>
      <w:pPr>
        <w:rPr>
          <w:rFonts w:ascii="Calibri" w:hAnsi="Calibri" w:eastAsia="宋体" w:cs="Times New Roman"/>
          <w:color w:val="000000"/>
          <w:szCs w:val="22"/>
        </w:rPr>
      </w:pPr>
    </w:p>
    <w:p>
      <w:pPr>
        <w:rPr>
          <w:rFonts w:ascii="Calibri" w:hAnsi="Calibri" w:eastAsia="宋体" w:cs="Times New Roman"/>
          <w:color w:val="000000"/>
          <w:szCs w:val="22"/>
        </w:rPr>
      </w:pPr>
    </w:p>
    <w:p>
      <w:pPr>
        <w:rPr>
          <w:rFonts w:ascii="Calibri" w:hAnsi="Calibri" w:eastAsia="宋体" w:cs="Times New Roman"/>
          <w:color w:val="000000"/>
          <w:szCs w:val="22"/>
        </w:rPr>
      </w:pPr>
    </w:p>
    <w:p>
      <w:pPr>
        <w:rPr>
          <w:rFonts w:ascii="Calibri" w:hAnsi="Calibri" w:eastAsia="宋体" w:cs="Times New Roman"/>
          <w:color w:val="000000"/>
          <w:szCs w:val="22"/>
        </w:rPr>
      </w:pPr>
    </w:p>
    <w:p>
      <w:pPr>
        <w:rPr>
          <w:rFonts w:ascii="Calibri" w:hAnsi="Calibri" w:eastAsia="宋体" w:cs="Times New Roman"/>
          <w:color w:val="000000"/>
          <w:szCs w:val="22"/>
        </w:rPr>
      </w:pPr>
    </w:p>
    <w:p>
      <w:pPr>
        <w:rPr>
          <w:rFonts w:ascii="Calibri" w:hAnsi="Calibri" w:eastAsia="宋体" w:cs="Times New Roman"/>
          <w:color w:val="000000"/>
          <w:szCs w:val="22"/>
        </w:rPr>
      </w:pPr>
    </w:p>
    <w:p>
      <w:pPr>
        <w:rPr>
          <w:rFonts w:ascii="Calibri" w:hAnsi="Calibri" w:eastAsia="宋体" w:cs="Times New Roman"/>
          <w:color w:val="000000"/>
          <w:szCs w:val="22"/>
        </w:rPr>
      </w:pPr>
    </w:p>
    <w:p>
      <w:pPr>
        <w:rPr>
          <w:rFonts w:ascii="Calibri" w:hAnsi="Calibri" w:eastAsia="宋体" w:cs="Times New Roman"/>
          <w:color w:val="000000"/>
          <w:szCs w:val="22"/>
        </w:rPr>
      </w:pPr>
    </w:p>
    <w:p>
      <w:pPr>
        <w:rPr>
          <w:rFonts w:ascii="Calibri" w:hAnsi="Calibri" w:eastAsia="宋体" w:cs="Times New Roman"/>
          <w:color w:val="000000"/>
          <w:szCs w:val="22"/>
        </w:rPr>
      </w:pPr>
    </w:p>
    <w:p>
      <w:pPr>
        <w:rPr>
          <w:rFonts w:ascii="Calibri" w:hAnsi="Calibri" w:eastAsia="宋体" w:cs="Times New Roman"/>
          <w:color w:val="000000"/>
          <w:szCs w:val="22"/>
        </w:rPr>
      </w:pPr>
    </w:p>
    <w:p>
      <w:pPr>
        <w:rPr>
          <w:rFonts w:ascii="Calibri" w:hAnsi="Calibri" w:eastAsia="宋体" w:cs="Times New Roman"/>
          <w:color w:val="000000"/>
          <w:szCs w:val="22"/>
        </w:rPr>
      </w:pPr>
    </w:p>
    <w:p>
      <w:pPr>
        <w:rPr>
          <w:rFonts w:ascii="Calibri" w:hAnsi="Calibri" w:eastAsia="宋体" w:cs="Times New Roman"/>
          <w:color w:val="000000"/>
          <w:szCs w:val="22"/>
        </w:rPr>
      </w:pPr>
    </w:p>
    <w:p>
      <w:pPr>
        <w:rPr>
          <w:rFonts w:ascii="Calibri" w:hAnsi="Calibri" w:eastAsia="宋体" w:cs="Times New Roman"/>
          <w:color w:val="000000"/>
          <w:szCs w:val="22"/>
        </w:rPr>
      </w:pPr>
    </w:p>
    <w:p>
      <w:pPr>
        <w:rPr>
          <w:rFonts w:ascii="Calibri" w:hAnsi="Calibri" w:eastAsia="宋体" w:cs="Times New Roman"/>
          <w:color w:val="000000"/>
          <w:szCs w:val="22"/>
        </w:rPr>
      </w:pPr>
    </w:p>
    <w:p>
      <w:pPr>
        <w:rPr>
          <w:rFonts w:ascii="Calibri" w:hAnsi="Calibri" w:eastAsia="宋体" w:cs="Times New Roman"/>
          <w:color w:val="000000"/>
          <w:szCs w:val="22"/>
        </w:rPr>
      </w:pPr>
    </w:p>
    <w:p>
      <w:pPr>
        <w:rPr>
          <w:rFonts w:ascii="Calibri" w:hAnsi="Calibri" w:eastAsia="宋体" w:cs="Times New Roman"/>
          <w:color w:val="000000"/>
          <w:szCs w:val="22"/>
        </w:rPr>
      </w:pPr>
    </w:p>
    <w:p>
      <w:pPr>
        <w:rPr>
          <w:rFonts w:ascii="Calibri" w:hAnsi="Calibri" w:eastAsia="宋体" w:cs="Times New Roman"/>
          <w:color w:val="000000"/>
          <w:szCs w:val="22"/>
        </w:rPr>
      </w:pPr>
    </w:p>
    <w:p>
      <w:pPr>
        <w:rPr>
          <w:rFonts w:ascii="Calibri" w:hAnsi="Calibri" w:eastAsia="宋体" w:cs="Times New Roman"/>
          <w:color w:val="000000"/>
          <w:szCs w:val="22"/>
        </w:rPr>
      </w:pPr>
    </w:p>
    <w:p>
      <w:pPr>
        <w:keepNext w:val="0"/>
        <w:keepLines w:val="0"/>
        <w:pageBreakBefore w:val="0"/>
        <w:wordWrap/>
        <w:overflowPunct/>
        <w:topLinePunct w:val="0"/>
        <w:bidi w:val="0"/>
        <w:spacing w:line="560" w:lineRule="exact"/>
        <w:ind w:left="0"/>
        <w:jc w:val="left"/>
        <w:rPr>
          <w:rFonts w:hint="eastAsia" w:ascii="黑体" w:hAnsi="黑体" w:eastAsia="黑体" w:cs="宋体"/>
          <w:snapToGrid w:val="0"/>
          <w:color w:val="000000"/>
          <w:spacing w:val="7"/>
          <w:kern w:val="0"/>
          <w:sz w:val="32"/>
          <w:szCs w:val="32"/>
          <w:lang w:val="en-US" w:eastAsia="zh-CN"/>
        </w:rPr>
      </w:pPr>
      <w:r>
        <w:rPr>
          <w:rFonts w:hint="eastAsia" w:ascii="黑体" w:hAnsi="黑体" w:eastAsia="黑体" w:cs="宋体"/>
          <w:snapToGrid w:val="0"/>
          <w:color w:val="000000"/>
          <w:spacing w:val="7"/>
          <w:kern w:val="0"/>
          <w:sz w:val="32"/>
          <w:szCs w:val="32"/>
        </w:rPr>
        <w:t>附件</w:t>
      </w:r>
      <w:r>
        <w:rPr>
          <w:rFonts w:hint="eastAsia" w:ascii="黑体" w:hAnsi="黑体" w:eastAsia="黑体" w:cs="宋体"/>
          <w:snapToGrid w:val="0"/>
          <w:color w:val="000000"/>
          <w:spacing w:val="7"/>
          <w:kern w:val="0"/>
          <w:sz w:val="32"/>
          <w:szCs w:val="32"/>
          <w:lang w:val="en-US" w:eastAsia="zh-CN"/>
        </w:rPr>
        <w:t>2</w:t>
      </w:r>
    </w:p>
    <w:p>
      <w:pPr>
        <w:keepNext w:val="0"/>
        <w:keepLines w:val="0"/>
        <w:pageBreakBefore w:val="0"/>
        <w:wordWrap/>
        <w:overflowPunct/>
        <w:topLinePunct w:val="0"/>
        <w:bidi w:val="0"/>
        <w:spacing w:line="560" w:lineRule="exact"/>
        <w:ind w:left="0"/>
        <w:jc w:val="center"/>
        <w:rPr>
          <w:rFonts w:ascii="方正小标宋简体" w:hAnsi="宋体" w:eastAsia="方正小标宋简体" w:cs="宋体"/>
          <w:snapToGrid w:val="0"/>
          <w:color w:val="000000"/>
          <w:spacing w:val="7"/>
          <w:kern w:val="0"/>
          <w:sz w:val="44"/>
          <w:szCs w:val="44"/>
        </w:rPr>
      </w:pPr>
      <w:r>
        <w:rPr>
          <w:rFonts w:hint="eastAsia" w:ascii="方正小标宋简体" w:hAnsi="宋体" w:eastAsia="方正小标宋简体" w:cs="宋体"/>
          <w:snapToGrid w:val="0"/>
          <w:color w:val="000000"/>
          <w:spacing w:val="7"/>
          <w:kern w:val="0"/>
          <w:sz w:val="44"/>
          <w:szCs w:val="44"/>
        </w:rPr>
        <w:t>2024年崇明区水稻机械化穴直播技术</w:t>
      </w:r>
    </w:p>
    <w:p>
      <w:pPr>
        <w:keepNext w:val="0"/>
        <w:keepLines w:val="0"/>
        <w:pageBreakBefore w:val="0"/>
        <w:wordWrap/>
        <w:overflowPunct/>
        <w:topLinePunct w:val="0"/>
        <w:bidi w:val="0"/>
        <w:spacing w:line="560" w:lineRule="exact"/>
        <w:ind w:left="0" w:firstLine="640" w:firstLineChars="200"/>
        <w:jc w:val="left"/>
        <w:rPr>
          <w:rFonts w:ascii="黑体" w:hAnsi="黑体" w:eastAsia="黑体" w:cs="Times New Roman"/>
          <w:color w:val="000000"/>
          <w:sz w:val="32"/>
          <w:szCs w:val="32"/>
        </w:rPr>
      </w:pPr>
      <w:r>
        <w:rPr>
          <w:rFonts w:hint="eastAsia" w:ascii="黑体" w:hAnsi="黑体" w:eastAsia="黑体" w:cs="Times New Roman"/>
          <w:color w:val="000000"/>
          <w:sz w:val="32"/>
          <w:szCs w:val="32"/>
        </w:rPr>
        <w:t>一、基本要求</w:t>
      </w:r>
    </w:p>
    <w:p>
      <w:pPr>
        <w:keepNext w:val="0"/>
        <w:keepLines w:val="0"/>
        <w:pageBreakBefore w:val="0"/>
        <w:wordWrap/>
        <w:overflowPunct/>
        <w:topLinePunct w:val="0"/>
        <w:bidi w:val="0"/>
        <w:spacing w:line="560" w:lineRule="exact"/>
        <w:ind w:left="0" w:firstLine="643" w:firstLineChars="200"/>
        <w:jc w:val="left"/>
        <w:rPr>
          <w:rFonts w:ascii="仿宋_GB2312" w:hAnsi="仿宋" w:eastAsia="仿宋_GB2312" w:cs="Times New Roman"/>
          <w:b/>
          <w:bCs/>
          <w:color w:val="000000"/>
          <w:sz w:val="32"/>
          <w:szCs w:val="32"/>
        </w:rPr>
      </w:pPr>
      <w:r>
        <w:rPr>
          <w:rFonts w:hint="eastAsia" w:ascii="楷体_GB2312" w:hAnsi="楷体_GB2312" w:eastAsia="楷体_GB2312" w:cs="楷体_GB2312"/>
          <w:b/>
          <w:bCs/>
          <w:color w:val="000000"/>
          <w:sz w:val="32"/>
          <w:szCs w:val="32"/>
        </w:rPr>
        <w:t>（一）作业环境</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1.道路：从机库到作业田块的道路应符合农业机械田间行走技术规范（NY/T 2194-2012），道路路面宽度不低于2.0m。</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2.农田：应选择地势平坦，灌排方便，杂草基数少，肥力中等以上的田块。要求地形规则、连片种植，相邻田块的田埂与道路连接处应设置一个机械通行坡口。</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3.穴直播机性能：</w:t>
      </w:r>
    </w:p>
    <w:tbl>
      <w:tblPr>
        <w:tblStyle w:val="5"/>
        <w:tblW w:w="7737" w:type="dxa"/>
        <w:jc w:val="center"/>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274"/>
        <w:gridCol w:w="1470"/>
        <w:gridCol w:w="2025"/>
        <w:gridCol w:w="196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21" w:hRule="atLeast"/>
          <w:jc w:val="center"/>
        </w:trPr>
        <w:tc>
          <w:tcPr>
            <w:tcW w:w="2274"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5"/>
                <w:kern w:val="0"/>
                <w:sz w:val="24"/>
                <w:szCs w:val="24"/>
                <w:lang w:eastAsia="en-US"/>
              </w:rPr>
              <w:t>配套动力</w:t>
            </w:r>
          </w:p>
        </w:tc>
        <w:tc>
          <w:tcPr>
            <w:tcW w:w="1470"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3"/>
                <w:kern w:val="0"/>
                <w:sz w:val="24"/>
                <w:szCs w:val="24"/>
                <w:lang w:eastAsia="en-US"/>
              </w:rPr>
              <w:t>kW(ps)</w:t>
            </w:r>
          </w:p>
        </w:tc>
        <w:tc>
          <w:tcPr>
            <w:tcW w:w="3993"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8"/>
                <w:kern w:val="0"/>
                <w:sz w:val="24"/>
                <w:szCs w:val="24"/>
                <w:lang w:eastAsia="en-US"/>
              </w:rPr>
              <w:t>≥12.5(17)</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17" w:hRule="atLeast"/>
          <w:jc w:val="center"/>
        </w:trPr>
        <w:tc>
          <w:tcPr>
            <w:tcW w:w="2274"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3"/>
                <w:kern w:val="0"/>
                <w:sz w:val="24"/>
                <w:szCs w:val="24"/>
                <w:lang w:eastAsia="en-US"/>
              </w:rPr>
              <w:t>排种器型式</w:t>
            </w:r>
          </w:p>
        </w:tc>
        <w:tc>
          <w:tcPr>
            <w:tcW w:w="1470"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Arial" w:eastAsia="仿宋_GB2312" w:cs="Arial"/>
                <w:snapToGrid w:val="0"/>
                <w:color w:val="000000"/>
                <w:kern w:val="0"/>
                <w:sz w:val="24"/>
                <w:szCs w:val="24"/>
                <w:lang w:eastAsia="en-US"/>
              </w:rPr>
            </w:pPr>
          </w:p>
        </w:tc>
        <w:tc>
          <w:tcPr>
            <w:tcW w:w="3993"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3"/>
                <w:kern w:val="0"/>
                <w:sz w:val="24"/>
                <w:szCs w:val="24"/>
                <w:lang w:eastAsia="en-US"/>
              </w:rPr>
              <w:t>可调组合型孔式</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16" w:hRule="atLeast"/>
          <w:jc w:val="center"/>
        </w:trPr>
        <w:tc>
          <w:tcPr>
            <w:tcW w:w="2274"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3"/>
                <w:kern w:val="0"/>
                <w:sz w:val="24"/>
                <w:szCs w:val="24"/>
                <w:lang w:eastAsia="en-US"/>
              </w:rPr>
              <w:t>播种行数</w:t>
            </w:r>
          </w:p>
        </w:tc>
        <w:tc>
          <w:tcPr>
            <w:tcW w:w="1470"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kern w:val="0"/>
                <w:sz w:val="24"/>
                <w:szCs w:val="24"/>
                <w:lang w:eastAsia="en-US"/>
              </w:rPr>
              <w:t>行</w:t>
            </w:r>
          </w:p>
        </w:tc>
        <w:tc>
          <w:tcPr>
            <w:tcW w:w="3993"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21"/>
                <w:kern w:val="0"/>
                <w:sz w:val="24"/>
                <w:szCs w:val="24"/>
                <w:lang w:eastAsia="en-US"/>
              </w:rPr>
              <w:t>≥10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17" w:hRule="atLeast"/>
          <w:jc w:val="center"/>
        </w:trPr>
        <w:tc>
          <w:tcPr>
            <w:tcW w:w="2274"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5"/>
                <w:kern w:val="0"/>
                <w:sz w:val="24"/>
                <w:szCs w:val="24"/>
                <w:lang w:eastAsia="en-US"/>
              </w:rPr>
              <w:t>行距</w:t>
            </w:r>
          </w:p>
        </w:tc>
        <w:tc>
          <w:tcPr>
            <w:tcW w:w="1470"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8"/>
                <w:kern w:val="0"/>
                <w:sz w:val="24"/>
                <w:szCs w:val="24"/>
                <w:lang w:eastAsia="en-US"/>
              </w:rPr>
              <w:t>cm</w:t>
            </w:r>
          </w:p>
        </w:tc>
        <w:tc>
          <w:tcPr>
            <w:tcW w:w="2025"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highlight w:val="none"/>
                <w:lang w:eastAsia="en-US"/>
              </w:rPr>
            </w:pPr>
            <w:r>
              <w:rPr>
                <w:rFonts w:hint="eastAsia" w:ascii="仿宋_GB2312" w:hAnsi="仿宋" w:eastAsia="仿宋_GB2312" w:cs="仿宋"/>
                <w:snapToGrid w:val="0"/>
                <w:color w:val="000000"/>
                <w:spacing w:val="-10"/>
                <w:kern w:val="0"/>
                <w:sz w:val="24"/>
                <w:szCs w:val="24"/>
                <w:highlight w:val="none"/>
                <w:lang w:eastAsia="en-US"/>
              </w:rPr>
              <w:t>20</w:t>
            </w:r>
          </w:p>
        </w:tc>
        <w:tc>
          <w:tcPr>
            <w:tcW w:w="1968"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highlight w:val="none"/>
                <w:lang w:eastAsia="en-US"/>
              </w:rPr>
            </w:pPr>
            <w:r>
              <w:rPr>
                <w:rFonts w:hint="eastAsia" w:ascii="仿宋_GB2312" w:hAnsi="仿宋" w:eastAsia="仿宋_GB2312" w:cs="仿宋"/>
                <w:snapToGrid w:val="0"/>
                <w:color w:val="000000"/>
                <w:spacing w:val="-10"/>
                <w:kern w:val="0"/>
                <w:sz w:val="24"/>
                <w:szCs w:val="24"/>
                <w:highlight w:val="none"/>
                <w:lang w:eastAsia="en-US"/>
              </w:rPr>
              <w:t>25</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16" w:hRule="atLeast"/>
          <w:jc w:val="center"/>
        </w:trPr>
        <w:tc>
          <w:tcPr>
            <w:tcW w:w="2274"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8"/>
                <w:kern w:val="0"/>
                <w:sz w:val="24"/>
                <w:szCs w:val="24"/>
                <w:lang w:eastAsia="en-US"/>
              </w:rPr>
              <w:t>穴距</w:t>
            </w:r>
          </w:p>
        </w:tc>
        <w:tc>
          <w:tcPr>
            <w:tcW w:w="1470"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8"/>
                <w:kern w:val="0"/>
                <w:sz w:val="24"/>
                <w:szCs w:val="24"/>
                <w:lang w:eastAsia="en-US"/>
              </w:rPr>
              <w:t>cm</w:t>
            </w:r>
          </w:p>
        </w:tc>
        <w:tc>
          <w:tcPr>
            <w:tcW w:w="3993"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11"/>
                <w:kern w:val="0"/>
                <w:sz w:val="24"/>
                <w:szCs w:val="24"/>
                <w:lang w:eastAsia="en-US"/>
              </w:rPr>
              <w:t>10、12、14、16、18、22（可调）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16" w:hRule="atLeast"/>
          <w:jc w:val="center"/>
        </w:trPr>
        <w:tc>
          <w:tcPr>
            <w:tcW w:w="2274"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2"/>
                <w:kern w:val="0"/>
                <w:sz w:val="24"/>
                <w:szCs w:val="24"/>
                <w:lang w:eastAsia="en-US"/>
              </w:rPr>
              <w:t>每穴播种量</w:t>
            </w:r>
          </w:p>
        </w:tc>
        <w:tc>
          <w:tcPr>
            <w:tcW w:w="1470"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kern w:val="0"/>
                <w:sz w:val="24"/>
                <w:szCs w:val="24"/>
                <w:lang w:eastAsia="en-US"/>
              </w:rPr>
              <w:t>粒</w:t>
            </w:r>
          </w:p>
        </w:tc>
        <w:tc>
          <w:tcPr>
            <w:tcW w:w="3993"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6"/>
                <w:kern w:val="0"/>
                <w:sz w:val="24"/>
                <w:szCs w:val="24"/>
                <w:lang w:eastAsia="en-US"/>
              </w:rPr>
              <w:t>3-5或7-9</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17" w:hRule="atLeast"/>
          <w:jc w:val="center"/>
        </w:trPr>
        <w:tc>
          <w:tcPr>
            <w:tcW w:w="2274"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3"/>
                <w:kern w:val="0"/>
                <w:sz w:val="24"/>
                <w:szCs w:val="24"/>
                <w:lang w:eastAsia="en-US"/>
              </w:rPr>
              <w:t>单个种箱容积</w:t>
            </w:r>
          </w:p>
        </w:tc>
        <w:tc>
          <w:tcPr>
            <w:tcW w:w="1470"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kern w:val="0"/>
                <w:sz w:val="24"/>
                <w:szCs w:val="24"/>
                <w:lang w:eastAsia="en-US"/>
              </w:rPr>
              <w:t>L</w:t>
            </w:r>
          </w:p>
        </w:tc>
        <w:tc>
          <w:tcPr>
            <w:tcW w:w="3993"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13"/>
                <w:kern w:val="0"/>
                <w:sz w:val="24"/>
                <w:szCs w:val="24"/>
                <w:lang w:eastAsia="en-US"/>
              </w:rPr>
              <w:t>10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16" w:hRule="atLeast"/>
          <w:jc w:val="center"/>
        </w:trPr>
        <w:tc>
          <w:tcPr>
            <w:tcW w:w="2274"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4"/>
                <w:kern w:val="0"/>
                <w:sz w:val="24"/>
                <w:szCs w:val="24"/>
                <w:lang w:eastAsia="en-US"/>
              </w:rPr>
              <w:t>工作速度</w:t>
            </w:r>
          </w:p>
        </w:tc>
        <w:tc>
          <w:tcPr>
            <w:tcW w:w="1470"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4"/>
                <w:kern w:val="0"/>
                <w:sz w:val="24"/>
                <w:szCs w:val="24"/>
                <w:lang w:eastAsia="en-US"/>
              </w:rPr>
              <w:t>km/h</w:t>
            </w:r>
          </w:p>
        </w:tc>
        <w:tc>
          <w:tcPr>
            <w:tcW w:w="3993"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16"/>
                <w:kern w:val="0"/>
                <w:sz w:val="24"/>
                <w:szCs w:val="24"/>
                <w:lang w:eastAsia="en-US"/>
              </w:rPr>
              <w:t>≤3.6</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Ex>
        <w:trPr>
          <w:trHeight w:val="321" w:hRule="atLeast"/>
          <w:jc w:val="center"/>
        </w:trPr>
        <w:tc>
          <w:tcPr>
            <w:tcW w:w="2274"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4"/>
                <w:kern w:val="0"/>
                <w:sz w:val="24"/>
                <w:szCs w:val="24"/>
                <w:lang w:eastAsia="en-US"/>
              </w:rPr>
              <w:t>作业效率</w:t>
            </w:r>
          </w:p>
        </w:tc>
        <w:tc>
          <w:tcPr>
            <w:tcW w:w="1470" w:type="dxa"/>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3"/>
                <w:kern w:val="0"/>
                <w:sz w:val="24"/>
                <w:szCs w:val="24"/>
                <w:lang w:eastAsia="en-US"/>
              </w:rPr>
              <w:t>hm</w:t>
            </w:r>
            <w:r>
              <w:rPr>
                <w:rFonts w:hint="eastAsia" w:ascii="仿宋_GB2312" w:hAnsi="仿宋" w:eastAsia="仿宋_GB2312" w:cs="仿宋"/>
                <w:snapToGrid w:val="0"/>
                <w:color w:val="000000"/>
                <w:spacing w:val="-3"/>
                <w:kern w:val="0"/>
                <w:position w:val="11"/>
                <w:sz w:val="24"/>
                <w:szCs w:val="24"/>
                <w:lang w:eastAsia="en-US"/>
              </w:rPr>
              <w:t>2</w:t>
            </w:r>
            <w:r>
              <w:rPr>
                <w:rFonts w:hint="eastAsia" w:ascii="仿宋_GB2312" w:hAnsi="仿宋" w:eastAsia="仿宋_GB2312" w:cs="仿宋"/>
                <w:snapToGrid w:val="0"/>
                <w:color w:val="000000"/>
                <w:spacing w:val="-3"/>
                <w:kern w:val="0"/>
                <w:sz w:val="24"/>
                <w:szCs w:val="24"/>
                <w:lang w:eastAsia="en-US"/>
              </w:rPr>
              <w:t>/h</w:t>
            </w:r>
          </w:p>
        </w:tc>
        <w:tc>
          <w:tcPr>
            <w:tcW w:w="3993" w:type="dxa"/>
            <w:gridSpan w:val="2"/>
            <w:vAlign w:val="center"/>
          </w:tcPr>
          <w:p>
            <w:pPr>
              <w:keepNext w:val="0"/>
              <w:keepLines w:val="0"/>
              <w:pageBreakBefore w:val="0"/>
              <w:widowControl/>
              <w:kinsoku w:val="0"/>
              <w:wordWrap/>
              <w:overflowPunct/>
              <w:topLinePunct w:val="0"/>
              <w:autoSpaceDE w:val="0"/>
              <w:autoSpaceDN w:val="0"/>
              <w:bidi w:val="0"/>
              <w:adjustRightInd w:val="0"/>
              <w:snapToGrid w:val="0"/>
              <w:spacing w:line="240" w:lineRule="auto"/>
              <w:ind w:left="0"/>
              <w:jc w:val="center"/>
              <w:textAlignment w:val="baseline"/>
              <w:rPr>
                <w:rFonts w:ascii="仿宋_GB2312" w:hAnsi="仿宋" w:eastAsia="仿宋_GB2312" w:cs="仿宋"/>
                <w:snapToGrid w:val="0"/>
                <w:color w:val="000000"/>
                <w:kern w:val="0"/>
                <w:sz w:val="24"/>
                <w:szCs w:val="24"/>
                <w:lang w:eastAsia="en-US"/>
              </w:rPr>
            </w:pPr>
            <w:r>
              <w:rPr>
                <w:rFonts w:hint="eastAsia" w:ascii="仿宋_GB2312" w:hAnsi="仿宋" w:eastAsia="仿宋_GB2312" w:cs="仿宋"/>
                <w:snapToGrid w:val="0"/>
                <w:color w:val="000000"/>
                <w:spacing w:val="-6"/>
                <w:kern w:val="0"/>
                <w:sz w:val="24"/>
                <w:szCs w:val="24"/>
                <w:lang w:eastAsia="en-US"/>
              </w:rPr>
              <w:t>≥0.4（视田块情况）</w:t>
            </w:r>
          </w:p>
        </w:tc>
      </w:tr>
    </w:tbl>
    <w:p>
      <w:pPr>
        <w:keepNext w:val="0"/>
        <w:keepLines w:val="0"/>
        <w:pageBreakBefore w:val="0"/>
        <w:wordWrap/>
        <w:overflowPunct/>
        <w:topLinePunct w:val="0"/>
        <w:bidi w:val="0"/>
        <w:spacing w:line="560" w:lineRule="exact"/>
        <w:ind w:left="0" w:firstLine="643" w:firstLineChars="200"/>
        <w:jc w:val="left"/>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（二）</w:t>
      </w:r>
      <w:r>
        <w:rPr>
          <w:rFonts w:hint="eastAsia" w:ascii="楷体_GB2312" w:hAnsi="楷体_GB2312" w:eastAsia="楷体_GB2312" w:cs="楷体_GB2312"/>
          <w:b/>
          <w:bCs/>
          <w:color w:val="000000"/>
          <w:sz w:val="32"/>
          <w:szCs w:val="32"/>
          <w:lang w:val="en-US" w:eastAsia="zh-CN"/>
        </w:rPr>
        <w:t>穴播机主要</w:t>
      </w:r>
      <w:r>
        <w:rPr>
          <w:rFonts w:hint="eastAsia" w:ascii="楷体_GB2312" w:hAnsi="楷体_GB2312" w:eastAsia="楷体_GB2312" w:cs="楷体_GB2312"/>
          <w:b/>
          <w:bCs/>
          <w:color w:val="000000"/>
          <w:sz w:val="32"/>
          <w:szCs w:val="32"/>
        </w:rPr>
        <w:t>功能</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穴直播机应具有平整、压茬、开沟和穴播功能，有固定行距，穴粒数和穴距可调。稻种能按设定的间距呈穴状播在播种沟内，播种沟两侧为蓄水槽或排水沟，可以起到排水和蓄水作用。</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侧深施肥穴播机，可以在机穴播的同时，在右侧边3-5cm、深度3-5cm的范围内同步施用缓释肥。</w:t>
      </w:r>
    </w:p>
    <w:p>
      <w:pPr>
        <w:keepNext w:val="0"/>
        <w:keepLines w:val="0"/>
        <w:pageBreakBefore w:val="0"/>
        <w:wordWrap/>
        <w:overflowPunct/>
        <w:topLinePunct w:val="0"/>
        <w:bidi w:val="0"/>
        <w:spacing w:line="560" w:lineRule="exact"/>
        <w:ind w:left="0" w:firstLine="643" w:firstLineChars="200"/>
        <w:jc w:val="left"/>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w:t>
      </w:r>
      <w:r>
        <w:rPr>
          <w:rFonts w:hint="eastAsia" w:ascii="楷体_GB2312" w:hAnsi="楷体_GB2312" w:eastAsia="楷体_GB2312" w:cs="楷体_GB2312"/>
          <w:b/>
          <w:bCs/>
          <w:color w:val="000000"/>
          <w:sz w:val="32"/>
          <w:szCs w:val="32"/>
          <w:lang w:val="en-US" w:eastAsia="zh-CN"/>
        </w:rPr>
        <w:t>三</w:t>
      </w:r>
      <w:r>
        <w:rPr>
          <w:rFonts w:hint="eastAsia" w:ascii="楷体_GB2312" w:hAnsi="楷体_GB2312" w:eastAsia="楷体_GB2312" w:cs="楷体_GB2312"/>
          <w:b/>
          <w:bCs/>
          <w:color w:val="000000"/>
          <w:sz w:val="32"/>
          <w:szCs w:val="32"/>
        </w:rPr>
        <w:t>）播种期和播种量</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1.播种期：杂交品种5月下旬至6月初播种，常规品种6月上旬播种。</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2.播种量：杂交品种每亩播稻种</w:t>
      </w:r>
      <w:r>
        <w:rPr>
          <w:rFonts w:hint="eastAsia" w:ascii="仿宋_GB2312" w:hAnsi="仿宋" w:eastAsia="仿宋_GB2312" w:cs="Times New Roman"/>
          <w:color w:val="000000"/>
          <w:sz w:val="32"/>
          <w:szCs w:val="32"/>
          <w:highlight w:val="none"/>
        </w:rPr>
        <w:t>2.25</w:t>
      </w:r>
      <w:r>
        <w:rPr>
          <w:rFonts w:hint="eastAsia" w:ascii="仿宋_GB2312" w:hAnsi="仿宋" w:eastAsia="仿宋_GB2312" w:cs="Times New Roman"/>
          <w:color w:val="000000"/>
          <w:sz w:val="32"/>
          <w:szCs w:val="32"/>
          <w:highlight w:val="none"/>
          <w:lang w:val="en-US" w:eastAsia="zh-CN"/>
        </w:rPr>
        <w:t>-2.5</w:t>
      </w:r>
      <w:r>
        <w:rPr>
          <w:rFonts w:hint="eastAsia" w:ascii="仿宋_GB2312" w:hAnsi="仿宋" w:eastAsia="仿宋_GB2312" w:cs="Times New Roman"/>
          <w:color w:val="000000"/>
          <w:sz w:val="32"/>
          <w:szCs w:val="32"/>
          <w:highlight w:val="none"/>
        </w:rPr>
        <w:t>kg。</w:t>
      </w:r>
      <w:r>
        <w:rPr>
          <w:rFonts w:hint="eastAsia" w:ascii="仿宋_GB2312" w:hAnsi="仿宋" w:eastAsia="仿宋_GB2312" w:cs="Times New Roman"/>
          <w:color w:val="000000"/>
          <w:sz w:val="32"/>
          <w:szCs w:val="32"/>
        </w:rPr>
        <w:t>常规稻品种每亩播稻种4.5-5kg。</w:t>
      </w:r>
    </w:p>
    <w:p>
      <w:pPr>
        <w:keepNext w:val="0"/>
        <w:keepLines w:val="0"/>
        <w:pageBreakBefore w:val="0"/>
        <w:wordWrap/>
        <w:overflowPunct/>
        <w:topLinePunct w:val="0"/>
        <w:bidi w:val="0"/>
        <w:spacing w:line="560" w:lineRule="exact"/>
        <w:ind w:left="0" w:firstLine="643" w:firstLineChars="200"/>
        <w:jc w:val="left"/>
        <w:rPr>
          <w:rFonts w:ascii="仿宋_GB2312" w:hAnsi="仿宋" w:eastAsia="仿宋_GB2312" w:cs="Times New Roman"/>
          <w:color w:val="000000"/>
          <w:sz w:val="32"/>
          <w:szCs w:val="32"/>
        </w:rPr>
      </w:pPr>
      <w:r>
        <w:rPr>
          <w:rFonts w:hint="eastAsia" w:ascii="楷体_GB2312" w:hAnsi="楷体_GB2312" w:eastAsia="楷体_GB2312" w:cs="楷体_GB2312"/>
          <w:b/>
          <w:bCs/>
          <w:color w:val="000000"/>
          <w:sz w:val="32"/>
          <w:szCs w:val="32"/>
        </w:rPr>
        <w:t>（</w:t>
      </w:r>
      <w:r>
        <w:rPr>
          <w:rFonts w:hint="eastAsia" w:ascii="楷体_GB2312" w:hAnsi="楷体_GB2312" w:eastAsia="楷体_GB2312" w:cs="楷体_GB2312"/>
          <w:b/>
          <w:bCs/>
          <w:color w:val="000000"/>
          <w:sz w:val="32"/>
          <w:szCs w:val="32"/>
          <w:lang w:val="en-US" w:eastAsia="zh-CN"/>
        </w:rPr>
        <w:t>四</w:t>
      </w:r>
      <w:r>
        <w:rPr>
          <w:rFonts w:hint="eastAsia" w:ascii="楷体_GB2312" w:hAnsi="楷体_GB2312" w:eastAsia="楷体_GB2312" w:cs="楷体_GB2312"/>
          <w:b/>
          <w:bCs/>
          <w:color w:val="000000"/>
          <w:sz w:val="32"/>
          <w:szCs w:val="32"/>
        </w:rPr>
        <w:t>）密度和基本苗</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1.杂交品种：穴距14-18cm，亩播1.7万穴以上，基本苗力争4.5-5.5万株/亩。</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2.常规品种：穴距12-16cm，亩播1.9万穴以上，基本苗力争达8-10万株/亩。</w:t>
      </w:r>
    </w:p>
    <w:p>
      <w:pPr>
        <w:keepNext w:val="0"/>
        <w:keepLines w:val="0"/>
        <w:pageBreakBefore w:val="0"/>
        <w:wordWrap/>
        <w:overflowPunct/>
        <w:topLinePunct w:val="0"/>
        <w:bidi w:val="0"/>
        <w:spacing w:line="560" w:lineRule="exact"/>
        <w:ind w:left="0" w:firstLine="640" w:firstLineChars="200"/>
        <w:jc w:val="left"/>
        <w:rPr>
          <w:rFonts w:ascii="黑体" w:hAnsi="黑体" w:eastAsia="黑体" w:cs="Times New Roman"/>
          <w:color w:val="000000"/>
          <w:sz w:val="32"/>
          <w:szCs w:val="32"/>
        </w:rPr>
      </w:pPr>
      <w:r>
        <w:rPr>
          <w:rFonts w:hint="eastAsia" w:ascii="黑体" w:hAnsi="黑体" w:eastAsia="黑体" w:cs="Times New Roman"/>
          <w:color w:val="000000"/>
          <w:sz w:val="32"/>
          <w:szCs w:val="32"/>
        </w:rPr>
        <w:t>二、生产技术</w:t>
      </w:r>
    </w:p>
    <w:p>
      <w:pPr>
        <w:keepNext w:val="0"/>
        <w:keepLines w:val="0"/>
        <w:pageBreakBefore w:val="0"/>
        <w:wordWrap/>
        <w:overflowPunct/>
        <w:topLinePunct w:val="0"/>
        <w:bidi w:val="0"/>
        <w:spacing w:line="560" w:lineRule="exact"/>
        <w:ind w:left="0" w:firstLine="643" w:firstLineChars="200"/>
        <w:jc w:val="left"/>
        <w:rPr>
          <w:rFonts w:ascii="仿宋_GB2312" w:hAnsi="仿宋" w:eastAsia="仿宋_GB2312" w:cs="Times New Roman"/>
          <w:color w:val="000000"/>
          <w:sz w:val="32"/>
          <w:szCs w:val="32"/>
        </w:rPr>
      </w:pPr>
      <w:r>
        <w:rPr>
          <w:rFonts w:hint="eastAsia" w:ascii="楷体_GB2312" w:hAnsi="楷体_GB2312" w:eastAsia="楷体_GB2312" w:cs="楷体_GB2312"/>
          <w:b/>
          <w:bCs/>
          <w:color w:val="000000"/>
          <w:sz w:val="32"/>
          <w:szCs w:val="32"/>
        </w:rPr>
        <w:t>（一）大田准备</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耕翻：冬闲田在入冬前用铧犁进行深翻，耕层深度为20cm 左右，播种前15天用旋耕机再次耕翻；绿肥田结合绿肥最佳耕翻期用铧犁、旋耕犁进行耕翻；麦茬田或油菜茬田在收割后立即旋耕，旋耕深度达到18cm 以上。</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泡田：冬闲田和绿肥田在播种前7天进行灌水泡田，麦茬田或油菜茬田耕翻后即行灌水泡田。泡田时间1－2天，泡田水层1-3cm，以田面高处见墩，低处有水，作业不起浪为准。</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水耕和耙田：经过充分泡田的田块，采用“一耕一耙”或“二耕一耙”等方式实施播前机械耕作，力求田块平整一致，高低落差控制在3cm 以内。</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4</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土壤沉实：耙田后结合除草剂封闭适当沉实。</w:t>
      </w:r>
    </w:p>
    <w:p>
      <w:pPr>
        <w:keepNext w:val="0"/>
        <w:keepLines w:val="0"/>
        <w:pageBreakBefore w:val="0"/>
        <w:wordWrap/>
        <w:overflowPunct/>
        <w:topLinePunct w:val="0"/>
        <w:bidi w:val="0"/>
        <w:spacing w:line="560" w:lineRule="exact"/>
        <w:ind w:left="0" w:firstLine="643" w:firstLineChars="200"/>
        <w:jc w:val="left"/>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（二）种子处理</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晒种</w:t>
      </w:r>
      <w:r>
        <w:rPr>
          <w:rFonts w:hint="eastAsia" w:ascii="仿宋_GB2312" w:hAnsi="仿宋" w:eastAsia="仿宋_GB2312" w:cs="Times New Roman"/>
          <w:color w:val="000000"/>
          <w:sz w:val="32"/>
          <w:szCs w:val="32"/>
          <w:lang w:eastAsia="zh-CN"/>
        </w:rPr>
        <w:t>。</w:t>
      </w:r>
      <w:r>
        <w:rPr>
          <w:rFonts w:hint="eastAsia" w:ascii="仿宋_GB2312" w:hAnsi="仿宋" w:eastAsia="仿宋_GB2312" w:cs="Times New Roman"/>
          <w:color w:val="000000"/>
          <w:sz w:val="32"/>
          <w:szCs w:val="32"/>
        </w:rPr>
        <w:t>选晴好天气晒种l-2天，摊薄、勤翻，防止破壳。</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highlight w:val="none"/>
        </w:rPr>
      </w:pPr>
      <w:r>
        <w:rPr>
          <w:rFonts w:hint="eastAsia" w:ascii="仿宋_GB2312" w:hAnsi="仿宋" w:eastAsia="仿宋_GB2312" w:cs="Times New Roman"/>
          <w:color w:val="000000"/>
          <w:sz w:val="32"/>
          <w:szCs w:val="32"/>
        </w:rPr>
        <w:t>2</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药剂消毒</w:t>
      </w:r>
      <w:r>
        <w:rPr>
          <w:rFonts w:hint="eastAsia" w:ascii="仿宋_GB2312" w:hAnsi="仿宋" w:eastAsia="仿宋_GB2312" w:cs="Times New Roman"/>
          <w:color w:val="000000"/>
          <w:sz w:val="32"/>
          <w:szCs w:val="32"/>
          <w:lang w:eastAsia="zh-CN"/>
        </w:rPr>
        <w:t>。</w:t>
      </w:r>
      <w:r>
        <w:rPr>
          <w:rFonts w:hint="eastAsia" w:ascii="仿宋_GB2312" w:hAnsi="仿宋" w:eastAsia="仿宋_GB2312" w:cs="Times New Roman"/>
          <w:color w:val="000000"/>
          <w:sz w:val="32"/>
          <w:szCs w:val="32"/>
        </w:rPr>
        <w:t>采用二级稀释法，先将32%戊唑醇.乙蒜素微乳剂一包（9毫升）用少量水稀释后再加适量清水配成800倍液，充分搅匀后浸入稻种封盖。</w:t>
      </w:r>
      <w:r>
        <w:rPr>
          <w:rFonts w:hint="eastAsia" w:ascii="仿宋_GB2312" w:hAnsi="仿宋" w:eastAsia="仿宋_GB2312" w:cs="Times New Roman"/>
          <w:color w:val="000000"/>
          <w:sz w:val="32"/>
          <w:szCs w:val="32"/>
          <w:highlight w:val="none"/>
        </w:rPr>
        <w:t>在日均气温12～15℃时浸足72～96小时，日平均气温18～20℃时浸足60小时，日均气温23～25℃时浸足48小时，后捞出正常堆闷催芽。</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催芽</w:t>
      </w:r>
      <w:r>
        <w:rPr>
          <w:rFonts w:hint="eastAsia" w:ascii="仿宋_GB2312" w:hAnsi="仿宋" w:eastAsia="仿宋_GB2312" w:cs="Times New Roman"/>
          <w:color w:val="000000"/>
          <w:sz w:val="32"/>
          <w:szCs w:val="32"/>
          <w:lang w:eastAsia="zh-CN"/>
        </w:rPr>
        <w:t>。</w:t>
      </w:r>
      <w:r>
        <w:rPr>
          <w:rFonts w:hint="eastAsia" w:ascii="仿宋_GB2312" w:hAnsi="仿宋" w:eastAsia="仿宋_GB2312" w:cs="Times New Roman"/>
          <w:color w:val="000000"/>
          <w:sz w:val="32"/>
          <w:szCs w:val="32"/>
        </w:rPr>
        <w:t>稻种浸种消毒处理后捞起,堆成厚度20-30cm谷堆，覆盖湿润草垫，保持适宜的温度、湿度和透气性。要求谷堆上下、内外温湿度基本保持一致，并按照“高温破胸、保湿催芽、低温晾芽”三大关键技术环节做好催芽工作，掌握稻谷萌发破胸的最适温度在32—35℃，注意谷堆中心温度不宜超过38℃;当种子80%以上破胸时，温度要降至25℃左右，并经常翻拌，使稻种间受热均匀，促进破胸整齐迅速，芽长至1-2mm时，将种子放置阴凉处摊开。催芽标准以90%稻谷催芽至“破胸露白”为准，芽长控制在0.3cm 以下。催芽应达到“快、齐、匀、壮”，“快”指在2天内催好芽；“齐”发芽势达到85%以上；“匀”指芽长整齐一致；“壮”要求幼芽齿粗壮，根、芽比例适当，颜色鲜白，气味清香，无酒味。也可以直接选用水稻种子专用催芽设备和机械进行稻种催芽处理。</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4</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炼芽待播</w:t>
      </w:r>
      <w:r>
        <w:rPr>
          <w:rFonts w:hint="eastAsia" w:ascii="仿宋_GB2312" w:hAnsi="仿宋" w:eastAsia="仿宋_GB2312" w:cs="Times New Roman"/>
          <w:color w:val="000000"/>
          <w:sz w:val="32"/>
          <w:szCs w:val="32"/>
          <w:lang w:eastAsia="zh-CN"/>
        </w:rPr>
        <w:t>。</w:t>
      </w:r>
      <w:r>
        <w:rPr>
          <w:rFonts w:hint="eastAsia" w:ascii="仿宋_GB2312" w:hAnsi="仿宋" w:eastAsia="仿宋_GB2312" w:cs="Times New Roman"/>
          <w:color w:val="000000"/>
          <w:sz w:val="32"/>
          <w:szCs w:val="32"/>
        </w:rPr>
        <w:t>催芽之后室内常温摊晾4-6小时炼芽，确保芽谷胚乳含水量饱和，谷种颖壳表面干而不粘，摊晾待播。待播期过长，50%的谷芽超过0.5cm 以上时不能用于机械穴直播。</w:t>
      </w:r>
    </w:p>
    <w:p>
      <w:pPr>
        <w:keepNext w:val="0"/>
        <w:keepLines w:val="0"/>
        <w:pageBreakBefore w:val="0"/>
        <w:wordWrap/>
        <w:overflowPunct/>
        <w:topLinePunct w:val="0"/>
        <w:bidi w:val="0"/>
        <w:spacing w:line="560" w:lineRule="exact"/>
        <w:ind w:left="0" w:firstLine="643" w:firstLineChars="200"/>
        <w:jc w:val="left"/>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（三）播种作业</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机械检查</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启动前检查燃油、机油、液压油、冷却液（水）、空气滤清器等；检查螺栓有无松动，各部件连接是否可靠；播种穴距、排种窝眼是否调整到位。</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启动后检查刹车、播种部液压升降、排种器转动是否正常、机器前进后退是否正常等。</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加装种子</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稻种添加：将机器开至田埂边，踩下刹车踏板，停好机器，逐个打开种子箱盖添加待播稻种，添加后盖好箱盖。加种时，稻种应自然倒入，不宜用手按压，以免影响播种质量；同时，雨天播种时，应防止稻种被雨淋湿，影响播种。</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机械调整</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壅泥的调整：根据壅泥情况调整挡泥板位差。</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沟槽深度调节：大田按要求准备好外，操作穴播机上的油压感度调节手柄可调整播种滑板与地面的接触的深浅程度。根据大田的软硬状况，调节油压感度调节手柄，调整到最佳状态。</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播种穴距的调整：由2根手柄组合，可进行6档播种穴距的调节。可调至10、12、14、16、18和22cm。手柄难以切换时，启动发动机，将主变速手柄置于“N”中立，刹车踏板置于未锁定状态，轻踩变速踏板后再调节。</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播种窝眼的调整：机器上共配有大小两套窝眼，应根据水稻品种特点和播种要求进行调整。大窝眼（+）每穴7-9粒，适用常规稻品种；小窝眼（-）每穴3-5粒，适用杂交稻品种。调整方法：清理干净种子后，用专用调整扳手调整至大窝眼（+）或小窝眼（-）的位置。调整后，请检查所有排种口排种量是否一致。</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侧深施肥穴播机配重调整：穴播机后部装有施肥播种装置，为避免作业时机器翘头，应及时根据播种及施肥作业情况调整配重，以确保农机作业安全。</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4</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安全移动</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机械下田、上岸、过田埂：田埂和水田落差大时，要使用跳板，下田时用“前进”，出来时用“后退”，以防止翻车和伤害事故的发生。田间播种过田埂和沟系时应放下播种部，用低速并踩住差速锁装置，与田埂呈直角慢慢前进，后轮上田埂的同时，升起播种部。</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5</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作业路线</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行走线路：第一行要播直，靠岸播第一行时，要尽量播直，贴近并与田埂平行，可使用主标杆与划线杆划出的划印对齐的方法，确保换行行距一致，使得整个田块播的直而整齐。</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6</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试播和播种</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机械进入田块后先行试播，试播4-5m后停机检查播种情况。 主要检查行距、穴距是否正确，落粒是否均匀，有无缺行漏播，以及播种槽、蓄水槽、排水沟深浅是否符合要求等，如不符合再行调整。</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试播完成后即正常播种，作业速度控制在=3.6km/h，并继续注意播种质量，发现壅泥、漏播、重播等现象及时调整。</w:t>
      </w:r>
    </w:p>
    <w:p>
      <w:pPr>
        <w:keepNext w:val="0"/>
        <w:keepLines w:val="0"/>
        <w:pageBreakBefore w:val="0"/>
        <w:wordWrap/>
        <w:overflowPunct/>
        <w:topLinePunct w:val="0"/>
        <w:bidi w:val="0"/>
        <w:spacing w:line="560" w:lineRule="exact"/>
        <w:ind w:left="0" w:firstLine="643" w:firstLineChars="200"/>
        <w:jc w:val="left"/>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（四）播后处理</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机械清理：在更换品种或每天播种作业结束后，应及时清理箱内和排种器中剩余稻种，避免稻种机械混杂。稻种清除作业时应逐个拧松卸种板螺母，抽出卸种板，卸放箱体内剩余稻种，然后发动机器，排净排种器内稻种。清理干净后，安装好卸种板，拧紧螺母。</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人工补种：在机器驶出已播种田块后，采用人工播种方法对漏播区域进行撒播。补漏区域主要是机械驶出口以及田块四周边角未播及的地方。</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疏通沟系：在机械播种结束后，及时辅助人工进行沟系的疏通，确保纵横沟系配套和畅通，以防止田内积水，影响出苗。对于部分播后积水区域或点，应及时采用人工辅助措施清除田内积水，防止烂种现象出现。</w:t>
      </w:r>
    </w:p>
    <w:p>
      <w:pPr>
        <w:keepNext w:val="0"/>
        <w:keepLines w:val="0"/>
        <w:pageBreakBefore w:val="0"/>
        <w:wordWrap/>
        <w:overflowPunct/>
        <w:topLinePunct w:val="0"/>
        <w:bidi w:val="0"/>
        <w:spacing w:line="560" w:lineRule="exact"/>
        <w:ind w:left="0"/>
        <w:jc w:val="left"/>
        <w:rPr>
          <w:rFonts w:hint="eastAsia" w:ascii="黑体" w:hAnsi="黑体" w:eastAsia="黑体" w:cs="宋体"/>
          <w:snapToGrid w:val="0"/>
          <w:color w:val="000000"/>
          <w:spacing w:val="7"/>
          <w:kern w:val="0"/>
          <w:sz w:val="32"/>
          <w:szCs w:val="32"/>
        </w:rPr>
        <w:sectPr>
          <w:pgSz w:w="11906" w:h="16838"/>
          <w:pgMar w:top="2098" w:right="1474" w:bottom="1984" w:left="1587" w:header="851" w:footer="992" w:gutter="0"/>
          <w:pgNumType w:fmt="numberInDash"/>
          <w:cols w:space="425" w:num="1"/>
          <w:docGrid w:type="lines" w:linePitch="312" w:charSpace="0"/>
        </w:sectPr>
      </w:pPr>
    </w:p>
    <w:p>
      <w:pPr>
        <w:keepNext w:val="0"/>
        <w:keepLines w:val="0"/>
        <w:pageBreakBefore w:val="0"/>
        <w:wordWrap/>
        <w:overflowPunct/>
        <w:topLinePunct w:val="0"/>
        <w:bidi w:val="0"/>
        <w:spacing w:line="560" w:lineRule="exact"/>
        <w:ind w:left="0"/>
        <w:jc w:val="left"/>
        <w:rPr>
          <w:rFonts w:ascii="黑体" w:hAnsi="黑体" w:eastAsia="黑体" w:cs="宋体"/>
          <w:snapToGrid w:val="0"/>
          <w:color w:val="000000"/>
          <w:spacing w:val="7"/>
          <w:kern w:val="0"/>
          <w:sz w:val="32"/>
          <w:szCs w:val="32"/>
        </w:rPr>
      </w:pPr>
      <w:r>
        <w:rPr>
          <w:rFonts w:hint="eastAsia" w:ascii="黑体" w:hAnsi="黑体" w:eastAsia="黑体" w:cs="宋体"/>
          <w:snapToGrid w:val="0"/>
          <w:color w:val="000000"/>
          <w:spacing w:val="7"/>
          <w:kern w:val="0"/>
          <w:sz w:val="32"/>
          <w:szCs w:val="32"/>
        </w:rPr>
        <w:t>附件3</w:t>
      </w:r>
    </w:p>
    <w:p>
      <w:pPr>
        <w:keepNext w:val="0"/>
        <w:keepLines w:val="0"/>
        <w:pageBreakBefore w:val="0"/>
        <w:wordWrap/>
        <w:overflowPunct/>
        <w:topLinePunct w:val="0"/>
        <w:bidi w:val="0"/>
        <w:spacing w:line="560" w:lineRule="exact"/>
        <w:ind w:left="0"/>
        <w:jc w:val="center"/>
        <w:rPr>
          <w:rFonts w:ascii="方正小标宋简体" w:hAnsi="宋体" w:eastAsia="方正小标宋简体" w:cs="宋体"/>
          <w:snapToGrid w:val="0"/>
          <w:color w:val="000000"/>
          <w:spacing w:val="7"/>
          <w:kern w:val="0"/>
          <w:sz w:val="44"/>
          <w:szCs w:val="44"/>
        </w:rPr>
      </w:pPr>
      <w:r>
        <w:rPr>
          <w:rFonts w:hint="eastAsia" w:ascii="方正小标宋简体" w:hAnsi="宋体" w:eastAsia="方正小标宋简体" w:cs="宋体"/>
          <w:snapToGrid w:val="0"/>
          <w:color w:val="000000"/>
          <w:spacing w:val="7"/>
          <w:kern w:val="0"/>
          <w:sz w:val="44"/>
          <w:szCs w:val="44"/>
        </w:rPr>
        <w:t>2024年崇明区水稻机械化育插秧技术</w:t>
      </w:r>
    </w:p>
    <w:p>
      <w:pPr>
        <w:keepNext w:val="0"/>
        <w:keepLines w:val="0"/>
        <w:pageBreakBefore w:val="0"/>
        <w:wordWrap/>
        <w:overflowPunct/>
        <w:topLinePunct w:val="0"/>
        <w:bidi w:val="0"/>
        <w:spacing w:line="560" w:lineRule="exact"/>
        <w:ind w:left="0" w:firstLine="640" w:firstLineChars="200"/>
        <w:jc w:val="left"/>
        <w:rPr>
          <w:rFonts w:ascii="黑体" w:hAnsi="黑体" w:eastAsia="黑体" w:cs="Times New Roman"/>
          <w:color w:val="000000"/>
          <w:sz w:val="32"/>
          <w:szCs w:val="32"/>
        </w:rPr>
      </w:pPr>
      <w:r>
        <w:rPr>
          <w:rFonts w:hint="eastAsia" w:ascii="黑体" w:hAnsi="黑体" w:eastAsia="黑体" w:cs="Times New Roman"/>
          <w:color w:val="000000"/>
          <w:sz w:val="32"/>
          <w:szCs w:val="32"/>
        </w:rPr>
        <w:t>一、基本要求</w:t>
      </w:r>
    </w:p>
    <w:p>
      <w:pPr>
        <w:keepNext w:val="0"/>
        <w:keepLines w:val="0"/>
        <w:pageBreakBefore w:val="0"/>
        <w:wordWrap/>
        <w:overflowPunct/>
        <w:topLinePunct w:val="0"/>
        <w:bidi w:val="0"/>
        <w:spacing w:line="560" w:lineRule="exact"/>
        <w:ind w:left="0" w:firstLine="643" w:firstLineChars="200"/>
        <w:jc w:val="left"/>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（一）品种</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highlight w:val="yellow"/>
        </w:rPr>
      </w:pPr>
      <w:r>
        <w:rPr>
          <w:rFonts w:hint="eastAsia" w:ascii="仿宋_GB2312" w:hAnsi="仿宋" w:eastAsia="仿宋_GB2312" w:cs="Times New Roman"/>
          <w:color w:val="000000"/>
          <w:sz w:val="32"/>
          <w:szCs w:val="32"/>
          <w:highlight w:val="none"/>
        </w:rPr>
        <w:t>选用高产、优质，适应性广、株高适中、株型紧凑、分蘖能力中等以上，综合抗性强，生育期在150-155天左右，适于本地区种植的市、区水稻主导品种。</w:t>
      </w:r>
    </w:p>
    <w:p>
      <w:pPr>
        <w:keepNext w:val="0"/>
        <w:keepLines w:val="0"/>
        <w:pageBreakBefore w:val="0"/>
        <w:wordWrap/>
        <w:overflowPunct/>
        <w:topLinePunct w:val="0"/>
        <w:bidi w:val="0"/>
        <w:spacing w:line="560" w:lineRule="exact"/>
        <w:ind w:left="0" w:firstLine="643" w:firstLineChars="200"/>
        <w:jc w:val="left"/>
        <w:rPr>
          <w:rFonts w:ascii="仿宋_GB2312" w:hAnsi="仿宋" w:eastAsia="仿宋_GB2312" w:cs="Times New Roman"/>
          <w:color w:val="000000"/>
          <w:sz w:val="32"/>
          <w:szCs w:val="32"/>
        </w:rPr>
      </w:pPr>
      <w:r>
        <w:rPr>
          <w:rFonts w:hint="eastAsia" w:ascii="楷体_GB2312" w:hAnsi="楷体_GB2312" w:eastAsia="楷体_GB2312" w:cs="楷体_GB2312"/>
          <w:b/>
          <w:bCs/>
          <w:color w:val="000000"/>
          <w:sz w:val="32"/>
          <w:szCs w:val="32"/>
        </w:rPr>
        <w:t>（二）种子质量</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种子质量要求达到《粮食作物种子第1部分：禾谷类》标准（GB4404.1-2008）。</w:t>
      </w:r>
    </w:p>
    <w:p>
      <w:pPr>
        <w:keepNext w:val="0"/>
        <w:keepLines w:val="0"/>
        <w:pageBreakBefore w:val="0"/>
        <w:wordWrap/>
        <w:overflowPunct/>
        <w:topLinePunct w:val="0"/>
        <w:bidi w:val="0"/>
        <w:spacing w:line="560" w:lineRule="exact"/>
        <w:ind w:left="0" w:firstLine="643" w:firstLineChars="200"/>
        <w:jc w:val="left"/>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（三）大田选择</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选择地势平坦、灌溉方便、杂草基数少的、肥力中等的田块，适宜连片种植，便于农事管理。</w:t>
      </w:r>
    </w:p>
    <w:p>
      <w:pPr>
        <w:keepNext w:val="0"/>
        <w:keepLines w:val="0"/>
        <w:pageBreakBefore w:val="0"/>
        <w:wordWrap/>
        <w:overflowPunct/>
        <w:topLinePunct w:val="0"/>
        <w:bidi w:val="0"/>
        <w:spacing w:line="560" w:lineRule="exact"/>
        <w:ind w:left="0" w:firstLine="643" w:firstLineChars="200"/>
        <w:jc w:val="left"/>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（四）茬口选择</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绿肥茬（紫云英、蚕豆）、油菜茬、冬耕休闲田、麦子茬。</w:t>
      </w:r>
    </w:p>
    <w:p>
      <w:pPr>
        <w:keepNext w:val="0"/>
        <w:keepLines w:val="0"/>
        <w:pageBreakBefore w:val="0"/>
        <w:wordWrap/>
        <w:overflowPunct/>
        <w:topLinePunct w:val="0"/>
        <w:bidi w:val="0"/>
        <w:spacing w:line="560" w:lineRule="exact"/>
        <w:ind w:left="0" w:firstLine="643" w:firstLineChars="200"/>
        <w:jc w:val="left"/>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（五）播栽期</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播期以秧龄和移栽期为参考，要求适龄栽插基础上做到适时栽插，适宜移栽期为5月20 日-6月10 日。</w:t>
      </w:r>
    </w:p>
    <w:p>
      <w:pPr>
        <w:keepNext w:val="0"/>
        <w:keepLines w:val="0"/>
        <w:pageBreakBefore w:val="0"/>
        <w:wordWrap/>
        <w:overflowPunct/>
        <w:topLinePunct w:val="0"/>
        <w:bidi w:val="0"/>
        <w:spacing w:line="560" w:lineRule="exact"/>
        <w:ind w:left="0" w:firstLine="643" w:firstLineChars="200"/>
        <w:jc w:val="left"/>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（六）播种量</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常规品种按照 120-130g/盘准备净干谷，杂交品种按110-120g/盘准备净干谷（常规9寸秧盘）。精量播种还应根据品种发芽率、千粒重、成秧率、栽插密度及基本苗要求等因素确定。</w:t>
      </w:r>
    </w:p>
    <w:p>
      <w:pPr>
        <w:keepNext w:val="0"/>
        <w:keepLines w:val="0"/>
        <w:pageBreakBefore w:val="0"/>
        <w:wordWrap/>
        <w:overflowPunct/>
        <w:topLinePunct w:val="0"/>
        <w:bidi w:val="0"/>
        <w:spacing w:line="560" w:lineRule="exact"/>
        <w:ind w:left="0" w:firstLine="643" w:firstLineChars="200"/>
        <w:jc w:val="left"/>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（七）机械作业要求</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水稻生产过程需作业的机械应预先做好维修保养工作，清理或清洁机械设备，使用机械设备时应做好预防漏油的措施或装置，避免污染农田生态和稻谷。采用机插秧同步侧深施肥种植时，为防止机器翘头，应适时增减配重，以确保农机作业安全。</w:t>
      </w:r>
    </w:p>
    <w:p>
      <w:pPr>
        <w:keepNext w:val="0"/>
        <w:keepLines w:val="0"/>
        <w:pageBreakBefore w:val="0"/>
        <w:wordWrap/>
        <w:overflowPunct/>
        <w:topLinePunct w:val="0"/>
        <w:bidi w:val="0"/>
        <w:spacing w:line="560" w:lineRule="exact"/>
        <w:ind w:left="0" w:firstLine="640" w:firstLineChars="200"/>
        <w:jc w:val="left"/>
        <w:rPr>
          <w:rFonts w:ascii="黑体" w:hAnsi="黑体" w:eastAsia="黑体" w:cs="Times New Roman"/>
          <w:color w:val="000000"/>
          <w:sz w:val="32"/>
          <w:szCs w:val="32"/>
        </w:rPr>
      </w:pPr>
      <w:r>
        <w:rPr>
          <w:rFonts w:hint="eastAsia" w:ascii="黑体" w:hAnsi="黑体" w:eastAsia="黑体" w:cs="Times New Roman"/>
          <w:color w:val="000000"/>
          <w:sz w:val="32"/>
          <w:szCs w:val="32"/>
        </w:rPr>
        <w:t>二、生产技术</w:t>
      </w:r>
    </w:p>
    <w:p>
      <w:pPr>
        <w:keepNext w:val="0"/>
        <w:keepLines w:val="0"/>
        <w:pageBreakBefore w:val="0"/>
        <w:wordWrap/>
        <w:overflowPunct/>
        <w:topLinePunct w:val="0"/>
        <w:bidi w:val="0"/>
        <w:spacing w:line="560" w:lineRule="exact"/>
        <w:ind w:left="0" w:firstLine="643" w:firstLineChars="200"/>
        <w:jc w:val="left"/>
        <w:rPr>
          <w:rFonts w:ascii="仿宋_GB2312" w:hAnsi="黑体" w:eastAsia="仿宋_GB2312" w:cs="Times New Roman"/>
          <w:color w:val="000000"/>
          <w:sz w:val="32"/>
          <w:szCs w:val="32"/>
        </w:rPr>
      </w:pPr>
      <w:r>
        <w:rPr>
          <w:rFonts w:hint="eastAsia" w:ascii="楷体_GB2312" w:hAnsi="楷体_GB2312" w:eastAsia="楷体_GB2312" w:cs="楷体_GB2312"/>
          <w:b/>
          <w:bCs/>
          <w:color w:val="000000"/>
          <w:sz w:val="32"/>
          <w:szCs w:val="32"/>
        </w:rPr>
        <w:t>（一）育秧</w:t>
      </w:r>
    </w:p>
    <w:p>
      <w:pPr>
        <w:keepNext w:val="0"/>
        <w:keepLines w:val="0"/>
        <w:pageBreakBefore w:val="0"/>
        <w:wordWrap/>
        <w:overflowPunct/>
        <w:topLinePunct w:val="0"/>
        <w:bidi w:val="0"/>
        <w:spacing w:line="560" w:lineRule="exact"/>
        <w:ind w:left="0" w:firstLine="640" w:firstLineChars="200"/>
        <w:jc w:val="left"/>
        <w:rPr>
          <w:rFonts w:ascii="仿宋_GB2312" w:hAnsi="黑体" w:eastAsia="仿宋_GB2312" w:cs="Times New Roman"/>
          <w:color w:val="000000"/>
          <w:sz w:val="32"/>
          <w:szCs w:val="32"/>
        </w:rPr>
      </w:pPr>
      <w:r>
        <w:rPr>
          <w:rFonts w:hint="eastAsia" w:ascii="仿宋_GB2312" w:hAnsi="黑体" w:eastAsia="仿宋_GB2312" w:cs="Times New Roman"/>
          <w:color w:val="000000"/>
          <w:sz w:val="32"/>
          <w:szCs w:val="32"/>
        </w:rPr>
        <w:t>1</w:t>
      </w:r>
      <w:r>
        <w:rPr>
          <w:rFonts w:hint="eastAsia" w:ascii="仿宋_GB2312" w:hAnsi="黑体"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播前准备</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育秧土（基质）准备：①常规育秧的育秧土，一般选择菜园土、耕作熟化的旱地土、冬翻春耕的稻田土，不宜在荒草地及当季喷施过除草剂的田块内取土。每亩大田一般需育秧细土100-125kg。②工厂化育秧的建议一般选择使用专用水稻育秧基质，每亩大田一般需育秧基质70-85kg。</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（2）秧盘准备：适合雷沃 2ZG-8A25A/2ZG-6A30A、洋马2ZGQ-60D、久保田SPV-6CMD等型号的乘坐式水稻插秧机秧盘规格60×25cm、60×30cm。常规品种每亩机插大田需育秧盘28-35盘，杂交稻20盘左右。</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整地做床：秧田应选择地势平坦，排灌方便，土壤肥沃，杂草基数少，无污染田块；秧大田比为1:80-100为宜。秧田耕深10cm，秧板规格以板面宽1.6m，沟宽0.25m，沟深0.15m为宜，四周开好围沟。秧板做好后排水晾板，使板面沉实不陷脚，播前两天铲平补低，填平裂缝，并充分拍实，板面达到“实、平、光、直”。</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（4）覆盖物准备：每亩机插秧田备门幅1.6m、30g/m</w:t>
      </w:r>
      <w:r>
        <w:rPr>
          <w:rFonts w:hint="eastAsia" w:ascii="仿宋_GB2312" w:hAnsi="仿宋" w:eastAsia="仿宋_GB2312" w:cs="Times New Roman"/>
          <w:color w:val="000000"/>
          <w:sz w:val="32"/>
          <w:szCs w:val="32"/>
          <w:vertAlign w:val="superscript"/>
        </w:rPr>
        <w:t>2</w:t>
      </w:r>
      <w:r>
        <w:rPr>
          <w:rFonts w:hint="eastAsia" w:ascii="仿宋_GB2312" w:hAnsi="仿宋" w:eastAsia="仿宋_GB2312" w:cs="Times New Roman"/>
          <w:color w:val="000000"/>
          <w:sz w:val="32"/>
          <w:szCs w:val="32"/>
        </w:rPr>
        <w:t xml:space="preserve"> 的农用无纺布20kg左右，40 目、门幅1.8-2m防虫网100m</w:t>
      </w:r>
      <w:r>
        <w:rPr>
          <w:rFonts w:hint="eastAsia" w:ascii="仿宋_GB2312" w:hAnsi="仿宋" w:eastAsia="仿宋_GB2312" w:cs="Times New Roman"/>
          <w:color w:val="000000"/>
          <w:sz w:val="32"/>
          <w:szCs w:val="32"/>
          <w:vertAlign w:val="superscript"/>
        </w:rPr>
        <w:t xml:space="preserve">2 </w:t>
      </w:r>
      <w:r>
        <w:rPr>
          <w:rFonts w:hint="eastAsia" w:ascii="仿宋_GB2312" w:hAnsi="仿宋" w:eastAsia="仿宋_GB2312" w:cs="Times New Roman"/>
          <w:color w:val="000000"/>
          <w:sz w:val="32"/>
          <w:szCs w:val="32"/>
        </w:rPr>
        <w:t>等用于播种后覆盖遮阳，防雨、防灼、保温、防虫。</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（5）机械准备：碎土机、播种机、插秧机等设备的安装、调试，以保证水稻生产机械流程作业正常运行。</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6）视土培肥：肥沃疏松的菜园土不需培肥，经粉碎过筛后可直接使用。对旱田土或稻田土，提倡秋季耕翻、冬季冻土，翌年春季培肥取土。取土前亩匀施水稻专用配方肥（BB肥）25～35公斤，禁用草木灰，后连续旋耕2～3遍，取10～15厘米表土集中堆闷熟化。播前1月左右选晴好天气及土堆水分适宜时进行粉碎、细化、过筛，达一定标准后继续堆闷，促肥土充分熟化。</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（7）种子处理</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晒种：播前选择晴天晒种1-2天，以提高发芽率。要求摊薄、勤翻、防止破壳。</w:t>
      </w:r>
    </w:p>
    <w:p>
      <w:pPr>
        <w:keepNext w:val="0"/>
        <w:keepLines w:val="0"/>
        <w:pageBreakBefore w:val="0"/>
        <w:wordWrap/>
        <w:overflowPunct/>
        <w:topLinePunct w:val="0"/>
        <w:bidi w:val="0"/>
        <w:spacing w:line="560" w:lineRule="exact"/>
        <w:ind w:left="0" w:firstLine="640" w:firstLineChars="200"/>
        <w:jc w:val="left"/>
        <w:rPr>
          <w:rFonts w:hint="default" w:ascii="仿宋_GB2312" w:hAnsi="仿宋" w:eastAsia="仿宋_GB2312" w:cs="Times New Roman"/>
          <w:color w:val="000000"/>
          <w:sz w:val="32"/>
          <w:szCs w:val="32"/>
          <w:lang w:val="en-US" w:eastAsia="zh-CN"/>
        </w:rPr>
      </w:pPr>
      <w:r>
        <w:rPr>
          <w:rFonts w:hint="eastAsia" w:ascii="仿宋_GB2312" w:hAnsi="仿宋" w:eastAsia="仿宋_GB2312" w:cs="Times New Roman"/>
          <w:color w:val="000000"/>
          <w:sz w:val="32"/>
          <w:szCs w:val="32"/>
        </w:rPr>
        <w:t>药剂处理</w:t>
      </w:r>
      <w:r>
        <w:rPr>
          <w:rFonts w:hint="eastAsia" w:ascii="仿宋_GB2312" w:hAnsi="仿宋" w:eastAsia="仿宋_GB2312" w:cs="Times New Roman"/>
          <w:color w:val="000000"/>
          <w:sz w:val="32"/>
          <w:szCs w:val="32"/>
          <w:lang w:eastAsia="zh-CN"/>
        </w:rPr>
        <w:t>：</w:t>
      </w:r>
      <w:r>
        <w:rPr>
          <w:rFonts w:hint="eastAsia" w:ascii="仿宋_GB2312" w:hAnsi="仿宋" w:eastAsia="仿宋_GB2312" w:cs="Times New Roman"/>
          <w:color w:val="000000"/>
          <w:sz w:val="32"/>
          <w:szCs w:val="32"/>
        </w:rPr>
        <w:t xml:space="preserve">采用二级稀释法，先将32%戊唑醇 </w:t>
      </w:r>
      <w:r>
        <w:rPr>
          <w:rFonts w:hint="eastAsia" w:ascii="宋体" w:hAnsi="宋体" w:eastAsia="宋体" w:cs="宋体"/>
          <w:color w:val="000000"/>
          <w:sz w:val="32"/>
          <w:szCs w:val="32"/>
        </w:rPr>
        <w:t>•</w:t>
      </w:r>
      <w:r>
        <w:rPr>
          <w:rFonts w:hint="eastAsia" w:ascii="仿宋_GB2312" w:hAnsi="仿宋_GB2312" w:eastAsia="仿宋_GB2312" w:cs="仿宋_GB2312"/>
          <w:color w:val="000000"/>
          <w:sz w:val="32"/>
          <w:szCs w:val="32"/>
        </w:rPr>
        <w:t>乙蒜素微乳剂一包（</w:t>
      </w:r>
      <w:r>
        <w:rPr>
          <w:rFonts w:hint="eastAsia" w:ascii="仿宋_GB2312" w:hAnsi="仿宋" w:eastAsia="仿宋_GB2312" w:cs="Times New Roman"/>
          <w:color w:val="000000"/>
          <w:sz w:val="32"/>
          <w:szCs w:val="32"/>
        </w:rPr>
        <w:t>9毫升）用少量水稀释后再加适量清水配成800倍液（杂交稻和常规稻用水量相同），充分搅匀后浸入稻种封盖，在日平均气温12～15℃时浸足72～96小时，日均气温18～20℃时浸足60小时，日均气温23～25℃时浸足48小时，后捞出正常堆闷催芽</w:t>
      </w:r>
      <w:r>
        <w:rPr>
          <w:rFonts w:hint="eastAsia" w:ascii="仿宋_GB2312" w:hAnsi="仿宋" w:eastAsia="仿宋_GB2312" w:cs="Times New Roman"/>
          <w:color w:val="000000"/>
          <w:sz w:val="32"/>
          <w:szCs w:val="32"/>
          <w:lang w:eastAsia="zh-CN"/>
        </w:rPr>
        <w:t>。</w:t>
      </w:r>
      <w:r>
        <w:rPr>
          <w:rFonts w:hint="eastAsia" w:ascii="仿宋_GB2312" w:hAnsi="仿宋" w:eastAsia="仿宋_GB2312" w:cs="Times New Roman"/>
          <w:color w:val="000000"/>
          <w:sz w:val="32"/>
          <w:szCs w:val="32"/>
          <w:highlight w:val="none"/>
          <w:lang w:val="en-US" w:eastAsia="zh-CN"/>
        </w:rPr>
        <w:t>数字化育秧中心无需</w:t>
      </w:r>
      <w:r>
        <w:rPr>
          <w:rFonts w:hint="eastAsia" w:ascii="仿宋_GB2312" w:hAnsi="仿宋" w:eastAsia="仿宋_GB2312" w:cs="Times New Roman"/>
          <w:color w:val="000000"/>
          <w:sz w:val="32"/>
          <w:szCs w:val="32"/>
          <w:highlight w:val="none"/>
        </w:rPr>
        <w:t>堆闷催芽。</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种子催芽：掌握稻谷萌发破胸的最适温度在32</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35℃,注意谷堆中心温度不宜超过38℃;当种子80%以上破胸时，温度要降至25℃左右，并经常翻拌，使稻种间受热均匀，促进破胸整齐迅速，芽长至1-2mm时，将种子放置阴凉处摊开，凉芽4-6小时后至稻谷表面晾干后再进行播种。催芽应达到“快、齐、匀、壮”，“快”指在2天内催好芽；“齐”发芽势达到85%以上；“匀”指芽长整齐一致；“壮”要求幼芽齿粗壮，根、芽比例适当，颜色鲜白，气味清香，无酒味。</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播种</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（1）播期：国庆稻适宜播种期为4月中下旬；优质常规稻适宜播 期为5月上中旬，高产杂交稻适宜播期5月上旬。播种时尽可能做到分期分批播种，以缓解插秧时的机械与季节、秧苗间的矛盾。</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（2）播种要求：坚持细播匀播，播前调试好机播设备，严格控制底土厚度2cm左右，覆盖土厚度在0.3-0.5cm，以看不见芽谷为宜；洒水量控制在底土水分达饱和状态，覆土后10分钟内盘面干土应自然吸湿无白面。</w:t>
      </w:r>
    </w:p>
    <w:p>
      <w:pPr>
        <w:keepNext w:val="0"/>
        <w:keepLines w:val="0"/>
        <w:pageBreakBefore w:val="0"/>
        <w:wordWrap/>
        <w:overflowPunct/>
        <w:topLinePunct w:val="0"/>
        <w:bidi w:val="0"/>
        <w:spacing w:line="560" w:lineRule="exact"/>
        <w:ind w:left="0" w:firstLine="640" w:firstLineChars="200"/>
        <w:jc w:val="left"/>
        <w:rPr>
          <w:rFonts w:hint="default" w:ascii="仿宋_GB2312" w:hAnsi="仿宋" w:eastAsia="仿宋_GB2312" w:cs="Times New Roman"/>
          <w:color w:val="000000"/>
          <w:sz w:val="32"/>
          <w:szCs w:val="32"/>
          <w:highlight w:val="none"/>
          <w:lang w:val="en-US" w:eastAsia="zh-CN"/>
        </w:rPr>
      </w:pPr>
      <w:r>
        <w:rPr>
          <w:rFonts w:hint="eastAsia" w:ascii="仿宋_GB2312" w:hAnsi="仿宋" w:eastAsia="仿宋_GB2312" w:cs="Times New Roman"/>
          <w:color w:val="000000"/>
          <w:sz w:val="32"/>
          <w:szCs w:val="32"/>
        </w:rPr>
        <w:t>（3）叠盘暗化：机播后的秧盘置于室外场地上或田间进行集中叠盘堆放，有利于保湿、增温提高成秧率，促进苗齐、苗匀。注意：叠盘高度不超过30盘；室外叠盘时要注意保湿、保温、遮阴；盘中有60%以上的芽鞘出土时就应结束叠盘堆放。</w:t>
      </w:r>
      <w:r>
        <w:rPr>
          <w:rFonts w:hint="eastAsia" w:ascii="仿宋_GB2312" w:hAnsi="仿宋" w:eastAsia="仿宋_GB2312" w:cs="Times New Roman"/>
          <w:color w:val="000000"/>
          <w:sz w:val="32"/>
          <w:szCs w:val="32"/>
          <w:highlight w:val="none"/>
          <w:lang w:val="en-US" w:eastAsia="zh-CN"/>
        </w:rPr>
        <w:t>数字化育秧中心则将机播后的秧盘放置在恒温</w:t>
      </w:r>
      <w:r>
        <w:rPr>
          <w:rFonts w:hint="eastAsia" w:ascii="仿宋_GB2312" w:hAnsi="仿宋" w:eastAsia="仿宋_GB2312" w:cs="Times New Roman"/>
          <w:color w:val="000000"/>
          <w:sz w:val="32"/>
          <w:szCs w:val="32"/>
          <w:highlight w:val="none"/>
        </w:rPr>
        <w:t>暗化</w:t>
      </w:r>
      <w:r>
        <w:rPr>
          <w:rFonts w:hint="eastAsia" w:ascii="仿宋_GB2312" w:hAnsi="仿宋" w:eastAsia="仿宋_GB2312" w:cs="Times New Roman"/>
          <w:color w:val="000000"/>
          <w:sz w:val="32"/>
          <w:szCs w:val="32"/>
          <w:highlight w:val="none"/>
          <w:lang w:val="en-US" w:eastAsia="zh-CN"/>
        </w:rPr>
        <w:t>室（温度控制在31℃左右）内进行约48小时的暗化处理，暗化结束后常温通风</w:t>
      </w:r>
      <w:r>
        <w:rPr>
          <w:rFonts w:hint="eastAsia" w:ascii="仿宋_GB2312" w:hAnsi="仿宋" w:eastAsia="仿宋_GB2312" w:cs="Times New Roman"/>
          <w:color w:val="000000"/>
          <w:sz w:val="32"/>
          <w:szCs w:val="32"/>
          <w:highlight w:val="none"/>
        </w:rPr>
        <w:t>炼苗</w:t>
      </w:r>
      <w:r>
        <w:rPr>
          <w:rFonts w:hint="eastAsia" w:ascii="仿宋_GB2312" w:hAnsi="仿宋" w:eastAsia="仿宋_GB2312" w:cs="Times New Roman"/>
          <w:color w:val="000000"/>
          <w:sz w:val="32"/>
          <w:szCs w:val="32"/>
          <w:highlight w:val="none"/>
          <w:lang w:val="en-US" w:eastAsia="zh-CN"/>
        </w:rPr>
        <w:t>7-8小时。</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秧田管理</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封膜保墒：盘中60％芽鞘露出秧盘土表后即移至秧田，要求：两盘齐边横放于秧板中央并紧贴秧板；铺盘结束后及时覆盖无纺布，做到随摆随覆，注意拉平、拉紧，四周封严封实，并及时灌平板水湿润秧板，并迅速排放弥补秧板水分不足，以保温保湿促齐苗。</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（2）揭膜炼苗：在秧苗出土2cm 以上、叶龄一叶一心至二叶一 心时应及时揭膜炼苗，避免遇高温灼伤幼苗。揭膜原则：先灌水后揭布，晴天傍晚揭，阴天上午揭，小雨雨前揭，大雨雨后揭。若遇连续低温，宜推迟揭膜，并做到日揭夜盖。</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秧田管水：播种至揭布前保持盘土湿润不发白，缺水补水；揭布至3叶前保持平沟水，以湿为主，达到以水调气、调肥、调温和护苗的目的。3叶后看天灌好跑马水，晴天满沟水，阴天半沟水，雨天排干水，有利于秧苗盘根；若遇晴天秧苗出现卷叶时要灌薄水护苗；遇连阴雨天，放干秧沟水；遇冷空气侵袭要灌拦腰水护苗，回暖后换水保苗，防止低温伤根、烂秧或死苗，气温正常时及时排水透气，提高秧苗根系活力。栽前3-5天控水炼苗（蹲苗），在起秧栽插前，雨天前要盖膜遮雨，以防秧盘土过湿影响起秧和栽插。</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（4）秧田用药：螟虫或飞虱基数高的田块，在秧苗移栽前2-3天打好起身药，降低为害。</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5）巧施起身肥：在移栽前3天左右根据秧苗生长情况看苗施好起身肥，叶色褪淡的脱力苗可亩施尿素3.5-4kg，叶色正常的可亩施尿素1-1.5kg，叶色浓绿且叶片下披的切忌施肥，应及时采取控水措施来提高秧苗素质。</w:t>
      </w:r>
    </w:p>
    <w:p>
      <w:pPr>
        <w:keepNext w:val="0"/>
        <w:keepLines w:val="0"/>
        <w:pageBreakBefore w:val="0"/>
        <w:wordWrap/>
        <w:overflowPunct/>
        <w:topLinePunct w:val="0"/>
        <w:bidi w:val="0"/>
        <w:spacing w:line="560" w:lineRule="exact"/>
        <w:ind w:left="0" w:firstLine="640" w:firstLineChars="200"/>
        <w:jc w:val="left"/>
        <w:rPr>
          <w:rFonts w:hint="eastAsia"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4、壮秧标准</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秧苗标准：机插时叶龄3.5-4叶，苗高12-18cm；苗挺叶绿，苗齐、苗匀，无黄叶，无病虫危害；茎基部粗扁有弹性，茎基宽大于2mm，单株白根数10条以上，百株地上部干重2.0-2.5g。</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秧块标准：秧块长58cm、宽28cm、盘根带土厚2.0cm；根系盘结牢固，形如毯状，提起不散，土层厚薄均匀一致；每平方cm成苗数1.7-2.6株，每盘苗数2800-4200株。</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5</w:t>
      </w:r>
      <w:r>
        <w:rPr>
          <w:rFonts w:hint="eastAsia" w:ascii="仿宋_GB2312" w:hAnsi="仿宋" w:eastAsia="仿宋_GB2312" w:cs="Times New Roman"/>
          <w:color w:val="000000"/>
          <w:sz w:val="32"/>
          <w:szCs w:val="32"/>
          <w:lang w:val="en-US" w:eastAsia="zh-CN"/>
        </w:rPr>
        <w:t>.</w:t>
      </w:r>
      <w:r>
        <w:rPr>
          <w:rFonts w:hint="eastAsia" w:ascii="仿宋_GB2312" w:hAnsi="仿宋" w:eastAsia="仿宋_GB2312" w:cs="Times New Roman"/>
          <w:color w:val="000000"/>
          <w:sz w:val="32"/>
          <w:szCs w:val="32"/>
        </w:rPr>
        <w:t>正确起运移栽</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由于机插秧的秧苗既小又嫩，防止在起运秧过程中出现萎蔫，做到随起、随运、随栽，保持秧苗自然舒展，避免秧块变形，降低机插秧缺穴率。</w:t>
      </w: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p>
    <w:p>
      <w:pPr>
        <w:keepNext w:val="0"/>
        <w:keepLines w:val="0"/>
        <w:pageBreakBefore w:val="0"/>
        <w:wordWrap/>
        <w:overflowPunct/>
        <w:topLinePunct w:val="0"/>
        <w:bidi w:val="0"/>
        <w:spacing w:line="560" w:lineRule="exact"/>
        <w:ind w:left="0" w:firstLine="640" w:firstLineChars="200"/>
        <w:jc w:val="left"/>
        <w:rPr>
          <w:rFonts w:ascii="仿宋_GB2312" w:hAnsi="仿宋" w:eastAsia="仿宋_GB2312" w:cs="Times New Roman"/>
          <w:color w:val="000000"/>
          <w:sz w:val="32"/>
          <w:szCs w:val="32"/>
        </w:rPr>
      </w:pPr>
    </w:p>
    <w:p>
      <w:pPr>
        <w:keepNext w:val="0"/>
        <w:keepLines w:val="0"/>
        <w:pageBreakBefore w:val="0"/>
        <w:wordWrap/>
        <w:overflowPunct/>
        <w:topLinePunct w:val="0"/>
        <w:bidi w:val="0"/>
        <w:spacing w:line="560" w:lineRule="exact"/>
        <w:ind w:left="0" w:firstLine="880" w:firstLineChars="200"/>
        <w:jc w:val="left"/>
        <w:rPr>
          <w:rFonts w:ascii="方正小标宋简体" w:hAnsi="仿宋" w:eastAsia="方正小标宋简体" w:cs="Times New Roman"/>
          <w:color w:val="000000"/>
          <w:sz w:val="44"/>
          <w:szCs w:val="44"/>
        </w:rPr>
      </w:pPr>
    </w:p>
    <w:p>
      <w:pPr>
        <w:keepNext w:val="0"/>
        <w:keepLines w:val="0"/>
        <w:pageBreakBefore w:val="0"/>
        <w:wordWrap/>
        <w:overflowPunct/>
        <w:topLinePunct w:val="0"/>
        <w:bidi w:val="0"/>
        <w:spacing w:line="560" w:lineRule="exact"/>
        <w:ind w:left="0"/>
        <w:jc w:val="left"/>
        <w:rPr>
          <w:rFonts w:hint="eastAsia" w:ascii="黑体" w:hAnsi="黑体" w:eastAsia="黑体" w:cs="宋体"/>
          <w:snapToGrid w:val="0"/>
          <w:color w:val="000000"/>
          <w:spacing w:val="7"/>
          <w:kern w:val="0"/>
          <w:sz w:val="32"/>
          <w:szCs w:val="32"/>
        </w:rPr>
        <w:sectPr>
          <w:pgSz w:w="11906" w:h="16838"/>
          <w:pgMar w:top="2098" w:right="1474" w:bottom="1984" w:left="1587" w:header="851" w:footer="992" w:gutter="0"/>
          <w:pgNumType w:fmt="numberInDash"/>
          <w:cols w:space="425"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40" w:lineRule="exact"/>
        <w:ind w:left="0"/>
        <w:jc w:val="left"/>
        <w:textAlignment w:val="auto"/>
        <w:rPr>
          <w:rFonts w:ascii="黑体" w:hAnsi="黑体" w:eastAsia="黑体" w:cs="宋体"/>
          <w:snapToGrid w:val="0"/>
          <w:color w:val="000000"/>
          <w:spacing w:val="7"/>
          <w:kern w:val="0"/>
          <w:sz w:val="32"/>
          <w:szCs w:val="32"/>
        </w:rPr>
      </w:pPr>
      <w:r>
        <w:rPr>
          <w:rFonts w:hint="eastAsia" w:ascii="黑体" w:hAnsi="黑体" w:eastAsia="黑体" w:cs="宋体"/>
          <w:snapToGrid w:val="0"/>
          <w:color w:val="000000"/>
          <w:spacing w:val="7"/>
          <w:kern w:val="0"/>
          <w:sz w:val="32"/>
          <w:szCs w:val="32"/>
        </w:rPr>
        <w:t>附件4</w:t>
      </w:r>
    </w:p>
    <w:p>
      <w:pPr>
        <w:keepNext w:val="0"/>
        <w:keepLines w:val="0"/>
        <w:pageBreakBefore w:val="0"/>
        <w:widowControl w:val="0"/>
        <w:kinsoku/>
        <w:wordWrap/>
        <w:overflowPunct/>
        <w:topLinePunct w:val="0"/>
        <w:autoSpaceDE/>
        <w:autoSpaceDN/>
        <w:bidi w:val="0"/>
        <w:adjustRightInd/>
        <w:snapToGrid/>
        <w:spacing w:line="540" w:lineRule="exact"/>
        <w:ind w:left="0"/>
        <w:jc w:val="center"/>
        <w:textAlignment w:val="auto"/>
        <w:rPr>
          <w:rFonts w:ascii="方正小标宋简体" w:hAnsi="仿宋" w:eastAsia="方正小标宋简体" w:cs="Times New Roman"/>
          <w:color w:val="000000"/>
          <w:sz w:val="44"/>
          <w:szCs w:val="44"/>
        </w:rPr>
      </w:pPr>
      <w:r>
        <w:rPr>
          <w:rFonts w:hint="eastAsia" w:ascii="方正小标宋简体" w:hAnsi="仿宋" w:eastAsia="方正小标宋简体" w:cs="Times New Roman"/>
          <w:color w:val="000000"/>
          <w:sz w:val="44"/>
          <w:szCs w:val="44"/>
        </w:rPr>
        <w:t>2024年崇明区水稻栽培</w:t>
      </w:r>
      <w:r>
        <w:rPr>
          <w:rFonts w:hint="eastAsia" w:ascii="方正小标宋简体" w:hAnsi="仿宋" w:eastAsia="方正小标宋简体" w:cs="Times New Roman"/>
          <w:color w:val="000000"/>
          <w:sz w:val="44"/>
          <w:szCs w:val="44"/>
          <w:lang w:val="en-US" w:eastAsia="zh-CN"/>
        </w:rPr>
        <w:t>管理</w:t>
      </w:r>
      <w:r>
        <w:rPr>
          <w:rFonts w:hint="eastAsia" w:ascii="方正小标宋简体" w:hAnsi="仿宋" w:eastAsia="方正小标宋简体" w:cs="Times New Roman"/>
          <w:color w:val="000000"/>
          <w:sz w:val="44"/>
          <w:szCs w:val="44"/>
        </w:rPr>
        <w:t>技术</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黑体" w:hAnsi="黑体" w:eastAsia="黑体" w:cs="Times New Roman"/>
          <w:color w:val="000000"/>
          <w:sz w:val="32"/>
          <w:szCs w:val="32"/>
          <w:highlight w:val="none"/>
        </w:rPr>
      </w:pPr>
      <w:r>
        <w:rPr>
          <w:rFonts w:hint="eastAsia" w:ascii="黑体" w:hAnsi="黑体" w:eastAsia="黑体" w:cs="Times New Roman"/>
          <w:color w:val="000000"/>
          <w:sz w:val="32"/>
          <w:szCs w:val="32"/>
          <w:highlight w:val="none"/>
        </w:rPr>
        <w:t>一、选用优良品种，合理茬口搭配</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highlight w:val="none"/>
        </w:rPr>
      </w:pPr>
      <w:r>
        <w:rPr>
          <w:rFonts w:hint="eastAsia" w:ascii="仿宋_GB2312" w:hAnsi="仿宋" w:eastAsia="仿宋_GB2312" w:cs="Times New Roman"/>
          <w:color w:val="000000"/>
          <w:sz w:val="32"/>
          <w:szCs w:val="32"/>
          <w:highlight w:val="none"/>
        </w:rPr>
        <w:t>2024年预计全区水稻种植面积约26万余亩，95%以上茬口模式为“绿肥—稻”“冬耕养护地—稻”，小面积为“麦-稻”茬口。针对早茬口比例高的特点，各乡镇应充分利用早茬口季节优势，按照市、区水稻主导品种推介目录，引导种植户选用品质优、丰产性、稳产性、适应性好的优良品种，同时合理配置优质稻产业化生产区和高产稳产区。种植方式上，尽可能扩大机械化育插秧种植比例，实现水稻早、中、晚品种与茬口模式、种植方式的合理配置，力求同一品种、同一栽培方式连片种植。</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highlight w:val="none"/>
        </w:rPr>
      </w:pPr>
      <w:r>
        <w:rPr>
          <w:rFonts w:hint="eastAsia" w:ascii="仿宋_GB2312" w:hAnsi="仿宋" w:eastAsia="仿宋_GB2312" w:cs="Times New Roman"/>
          <w:color w:val="000000"/>
          <w:sz w:val="32"/>
          <w:szCs w:val="32"/>
          <w:highlight w:val="none"/>
        </w:rPr>
        <w:t>国庆稻选用优质早熟中粳类品种“松早香1号”，中熟中粳“沪早粳193”，与绿肥、冬耕养护地茬口搭配，优先采用机插栽培，有利早播早栽早成熟，发挥国庆稻早上市的优势。中熟晚粳类常规优质稻产业化生产品种，优选“南粳46”、 “银香38”、“沪软玉1号”，示范种植“崇尚2022”、“太安1号”等，优先选用绿肥茬口，采用机插或机穴播栽培，注重种植质量和适期播栽。高产优质品种，重点推广“申优28”、“花优14”等品种，宜选用绿肥或冬耕养护地茬口，优先采用机插栽培，有条件的也可采用机穴播栽培，注重早播早栽，满足杂交稻全生育期长的特点，充分发挥杂交品种增产潜力。</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黑体" w:hAnsi="黑体" w:eastAsia="黑体" w:cs="Times New Roman"/>
          <w:color w:val="000000"/>
          <w:sz w:val="32"/>
          <w:szCs w:val="32"/>
        </w:rPr>
      </w:pPr>
      <w:r>
        <w:rPr>
          <w:rFonts w:hint="eastAsia" w:ascii="黑体" w:hAnsi="黑体" w:eastAsia="黑体" w:cs="Times New Roman"/>
          <w:color w:val="000000"/>
          <w:sz w:val="32"/>
          <w:szCs w:val="32"/>
        </w:rPr>
        <w:t>二、强化精细整地，提高机械耕整地质量</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对于冬作蚕豆、紫云英等绿肥作物，要求在盛花至初荚期及时机械翻埋还田，先干耕或犁翻，力求不漏耕，耕深20cm左右，深浅一致，日晒3～4天后及时灌水，促进前茬秸秆及绿肥腐解，也便于养草灭草措施落实，减少后茬稻田杂草基数</w:t>
      </w:r>
      <w:r>
        <w:rPr>
          <w:rFonts w:hint="eastAsia" w:ascii="仿宋_GB2312" w:hAnsi="仿宋" w:eastAsia="仿宋_GB2312" w:cs="Times New Roman"/>
          <w:color w:val="000000"/>
          <w:sz w:val="32"/>
          <w:szCs w:val="32"/>
          <w:lang w:eastAsia="zh-CN"/>
        </w:rPr>
        <w:t>。</w:t>
      </w:r>
      <w:r>
        <w:rPr>
          <w:rFonts w:hint="eastAsia" w:ascii="仿宋_GB2312" w:hAnsi="仿宋" w:eastAsia="仿宋_GB2312" w:cs="Times New Roman"/>
          <w:color w:val="000000"/>
          <w:sz w:val="32"/>
          <w:szCs w:val="32"/>
        </w:rPr>
        <w:t>对于冬耕养护田块，应结合养草灭草措施落实，在水稻播栽前提前进行旋耕、灌水，提高养草灭草效果</w:t>
      </w:r>
      <w:r>
        <w:rPr>
          <w:rFonts w:hint="eastAsia" w:ascii="仿宋_GB2312" w:hAnsi="仿宋" w:eastAsia="仿宋_GB2312" w:cs="Times New Roman"/>
          <w:color w:val="000000"/>
          <w:sz w:val="32"/>
          <w:szCs w:val="32"/>
          <w:lang w:eastAsia="zh-CN"/>
        </w:rPr>
        <w:t>。</w:t>
      </w:r>
      <w:r>
        <w:rPr>
          <w:rFonts w:hint="eastAsia" w:ascii="仿宋_GB2312" w:hAnsi="仿宋" w:eastAsia="仿宋_GB2312" w:cs="Times New Roman"/>
          <w:color w:val="000000"/>
          <w:sz w:val="32"/>
          <w:szCs w:val="32"/>
        </w:rPr>
        <w:t>对于少数麦子田块，应在抢收腾茬后及时进行秸秆机械还田和机耕、灌水，尽可能延长秸秆腐解时间，减少对后茬水稻秧苗生长的影响。同时，根据后茬水稻作物不同种植方式、播栽时间，并按照机插秧或机穴播耕整地技术规程，及时进行“一耕一耙”或“二耕一耙”机械作业，力求田块平整一致，泥头软硬适中，高低落差控制在3cm左右，并做到随耕随播，以提高播栽质量，减少稻田前期杂草滋生风险。</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黑体" w:hAnsi="黑体" w:eastAsia="黑体" w:cs="Times New Roman"/>
          <w:color w:val="000000"/>
          <w:sz w:val="32"/>
          <w:szCs w:val="32"/>
        </w:rPr>
      </w:pPr>
      <w:r>
        <w:rPr>
          <w:rFonts w:hint="eastAsia" w:ascii="黑体" w:hAnsi="黑体" w:eastAsia="黑体" w:cs="Times New Roman"/>
          <w:color w:val="000000"/>
          <w:sz w:val="32"/>
          <w:szCs w:val="32"/>
        </w:rPr>
        <w:t>三、坚持适期播栽，合理播栽密度</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 xml:space="preserve"> “国庆稻”品种：优先选用机插栽培，适宜播种期为4月中下旬，移栽期为5月中旬；亩栽密度1.8-2.0万穴，基本苗10-12万株/亩。选用机穴播栽培的，适宜播种期为5月10日前后，可视气温变化而定，力求播后日平均气温保持在20℃左右，最低气温不低于15℃,力争于5月15 日前完成；亩用种量5-6公斤，基本苗12万株/亩左右。</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——对于中熟晚粳类优质稻品种，用于优质稻产业化生产的，优先采用机插栽培，适宜播种期为5月上中旬，移栽期6月上旬，不超过6月15 日；每亩栽插1.85万穴左右、基本苗8-10万株/亩；选用机穴播栽培的，适宜播种期为5月底-6月10 日，亩用种量4.5-5公斤，基本苗10万株/亩左右。</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——对于迟熟类高产优质杂交稻，优先选用机插栽培，适宜播种期为5月上旬，移栽期为5月底至6月5 日，每亩栽插密度1.6万穴、基本苗4-5万株/亩；高产常规稻品种，播栽期可适当推迟1星期左右，每亩栽插穴数1.8万穴、基本苗7.5-8.5万株/亩。采用机穴播栽培的杂交品种适宜播期为5月下旬-6月初，常规品种适宜播期为6月上旬；杂交品种亩用种量2.25-2.5公斤，基本苗4.5-5.5万株/亩；常规品种亩用种量4.5-5公斤，基本苗8-10万株/亩。</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黑体" w:hAnsi="黑体" w:eastAsia="黑体" w:cs="Times New Roman"/>
          <w:color w:val="000000"/>
          <w:sz w:val="32"/>
          <w:szCs w:val="32"/>
        </w:rPr>
      </w:pPr>
      <w:r>
        <w:rPr>
          <w:rFonts w:hint="eastAsia" w:ascii="黑体" w:hAnsi="黑体" w:eastAsia="黑体" w:cs="Times New Roman"/>
          <w:color w:val="000000"/>
          <w:sz w:val="32"/>
          <w:szCs w:val="32"/>
        </w:rPr>
        <w:t>四、科学肥料运筹，提高肥料利用率</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积极引导广大经营主体种好绿肥、增施有机肥，并全力推进缓释肥、BB 肥等新型配方施肥的应用，技术部门加强肥料运筹技术的分类指导，提高肥料利用率，降低化学肥料施用总量，实现水稻生产节本增效，确保农田生态环境安全。</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——对于“卖稻谷”为主的水稻种植区域或田块，要求全生育期氮化肥总用量（折纯N）控制20-22kg/亩,前期后期氮化肥比例7.5-8</w:t>
      </w:r>
      <w:r>
        <w:rPr>
          <w:rFonts w:hint="eastAsia" w:ascii="宋体" w:hAnsi="宋体" w:eastAsia="宋体" w:cs="宋体"/>
          <w:color w:val="000000"/>
          <w:sz w:val="32"/>
          <w:szCs w:val="32"/>
        </w:rPr>
        <w:t>︰</w:t>
      </w:r>
      <w:r>
        <w:rPr>
          <w:rFonts w:hint="eastAsia" w:ascii="仿宋_GB2312" w:hAnsi="仿宋" w:eastAsia="仿宋_GB2312" w:cs="Times New Roman"/>
          <w:color w:val="000000"/>
          <w:sz w:val="32"/>
          <w:szCs w:val="32"/>
        </w:rPr>
        <w:t>2-2.5。</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对于绿色认证和“卖大米”为主的优质稻产业化生产区域或田块，应结合水稻生产技术模式差异，采用不同肥料运筹方案。对于以“绿肥－稻”、或“冬耕养护地－稻”为主要茬口模式的“休养轮作型”水稻种植区域或田块，在亩施用500-1000kg商品有机肥基础上，要求全生育期无机氮化肥总用量（折纯N）控制在13kg/亩左右，前期与后期氮化肥比例掌握在8</w:t>
      </w:r>
      <w:r>
        <w:rPr>
          <w:rFonts w:hint="eastAsia" w:ascii="宋体" w:hAnsi="宋体" w:eastAsia="宋体" w:cs="宋体"/>
          <w:color w:val="000000"/>
          <w:sz w:val="32"/>
          <w:szCs w:val="32"/>
        </w:rPr>
        <w:t>︰</w:t>
      </w:r>
      <w:r>
        <w:rPr>
          <w:rFonts w:hint="eastAsia" w:ascii="仿宋_GB2312" w:hAnsi="仿宋" w:eastAsia="仿宋_GB2312" w:cs="Times New Roman"/>
          <w:color w:val="000000"/>
          <w:sz w:val="32"/>
          <w:szCs w:val="32"/>
        </w:rPr>
        <w:t xml:space="preserve">2左右；对于以“稻－渔”共生为特色的“生态种植型”水稻种植区域或田块，原则上在足施有机肥的基础上，要求全生育期无机氮化肥总用量（折纯N）控制在 10-13kg/亩，前期与后期氮化肥比例掌握在 8-8.5 </w:t>
      </w:r>
      <w:r>
        <w:rPr>
          <w:rFonts w:hint="eastAsia" w:ascii="宋体" w:hAnsi="宋体" w:eastAsia="宋体" w:cs="宋体"/>
          <w:color w:val="000000"/>
          <w:sz w:val="32"/>
          <w:szCs w:val="32"/>
        </w:rPr>
        <w:t>︰</w:t>
      </w:r>
      <w:r>
        <w:rPr>
          <w:rFonts w:hint="eastAsia" w:ascii="仿宋_GB2312" w:hAnsi="仿宋" w:eastAsia="仿宋_GB2312" w:cs="Times New Roman"/>
          <w:color w:val="000000"/>
          <w:sz w:val="32"/>
          <w:szCs w:val="32"/>
        </w:rPr>
        <w:t>1.5-2，同时，也可视种养方式的差异和有机氮投入数量作适当调整；对于“循环农业型”的水稻种植区域或田块，在亩施畜禽粪污液肥8-10t或腐熟的畜禽粪便堆肥1.2-1.5t的基础上，全生育期氮化肥总用量掌握在13-15kg/亩。具体肥料运筹技术如下：</w:t>
      </w:r>
    </w:p>
    <w:p>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jc w:val="left"/>
        <w:textAlignment w:val="auto"/>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（一）基肥</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以绿色认证或“卖大米”为主的优质稻产业化为主的田块，对于前茬绿肥田块，应视绿肥鲜草产量增施有机肥，每亩大田增施商品有机肥500-800公斤；对于冬耕晒垡田块，每亩大田增施商品有机肥1000 公斤左右。对于“冬耕养护地－稻”为茬口模式的田块，在结合施用有机肥的基础上，有条件的可与水稻机械化种植同步侧深基施缓释肥20-30 kg或折纯氮量相等的复混（合）肥；对于“绿肥-稻”为茬口模式的田块，在足施有机肥的基础上，每亩增施尿素或BB肥5-10公斤，以促进绿肥腐解。</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对于高产攻关田块，建议基肥在播种或机插前施入，以缓释肥、BB肥、有机肥为主。有机肥结合绿肥翻压全部基施；缓释肥、BB肥可于播栽前7-10天干施，先施后耕再灌水，确保肥料入土均匀、肥土交融，提高利用率，亩用量BB肥25公斤左右或缓释肥30公斤左右，“国庆稻”可适当增加用量，直播稻可适当减少用量。绿肥鲜草产量较高的田块，可适当亩增施复合（混）肥或尿素5-10公斤，以促进绿肥腐解。有条件的区域基肥施用可采用与水稻机械化种植同步侧深基施的方法。</w:t>
      </w:r>
    </w:p>
    <w:p>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jc w:val="left"/>
        <w:textAlignment w:val="auto"/>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（二）分蘖肥</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以绿色认证或“卖大米”为主的优质稻产业化为主的田块，提倡分2次施用，第1次在机插稻活棵后或机穴播稻3叶-4叶期，亩施尿素5公斤左右；一周至10天后追施第2次，亩施尿素10公斤左右或BB肥15-20公斤。对于“生态种植型”田块，可视养殖情况，可适当减少每次施用数量，以避免施肥对养殖水产品的伤害。对于“循环农业型”的区域或田块，可在水稻4-5叶期，一次性追施尿素7.5-12.5 kg。</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对于高产攻关田块，原则上分2次施用。机插秧苗活棵或直播稻秧苗3-4叶期第一次分蘖肥，亩施尿素5-8公斤。7-10天后施第二次分蘖肥，用缓释肥做基肥的亩施尿素8-10公斤；用 BB肥做基肥的亩施尿素15公斤左右。隔一周左右视田间长势，以捉黄塘的方式亩施水稻BB肥10公斤左右，用于促平衡。白耕白种田块适当提前施用；播种迟、出苗少的田块要适当增加前期肥料用量，并增加施用次数，缩短间隔时间，宜少量多餐。</w:t>
      </w:r>
    </w:p>
    <w:p>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jc w:val="left"/>
        <w:textAlignment w:val="auto"/>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（三）长粗肥</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以国庆稻、优质稻产业化生产等“卖米”的区域为主，肥料以施BB为主。国庆稻最迟7月10 日前，晚粳稻应结合水稻搁田控苗措施的落实，在最后一次搁田前一般于7月20-25 日施入，每亩施BB肥10-15kg，并做到带肥搁田。</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对于高产攻关田块，可少施或不施长粗肥，以后期直接施穗肥方式满足水稻生长后期对养分的需求。</w:t>
      </w:r>
    </w:p>
    <w:p>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jc w:val="left"/>
        <w:textAlignment w:val="auto"/>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（四）穗肥或粒肥</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国庆稻提倡不施穗肥；优质晚粳提倡少施或不施。</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以稻谷产量为主兼顾米质的，提倡1次施用，以施“促花肥” 为主，宜早不宜迟。一般于主茎第一节间定长，第二节间始伸长， 且群体叶色正常褪淡时亩施BB肥10-15公斤。申优28、花优14、申优26等杂交品种穗肥建议1次施用，亩施BB肥10公斤左右。</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黑体" w:hAnsi="黑体" w:eastAsia="黑体" w:cs="Times New Roman"/>
          <w:color w:val="000000"/>
          <w:sz w:val="32"/>
          <w:szCs w:val="32"/>
        </w:rPr>
      </w:pPr>
      <w:r>
        <w:rPr>
          <w:rFonts w:hint="eastAsia" w:ascii="黑体" w:hAnsi="黑体" w:eastAsia="黑体" w:cs="Times New Roman"/>
          <w:color w:val="000000"/>
          <w:sz w:val="32"/>
          <w:szCs w:val="32"/>
        </w:rPr>
        <w:t>五、加强水浆管理，提高肥水管理协同效应</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围绕水稻生长各阶段需水、需肥规律，切实加强水稻全生育期水浆管理，重点突出肥、水、气协调管理，实现以水调肥、以水控草、以气促根，促进群体与个体协调发展。</w:t>
      </w:r>
    </w:p>
    <w:p>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jc w:val="left"/>
        <w:textAlignment w:val="auto"/>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（一）播种至幼苗期</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对于机穴播或人工直播栽培的田块，强调无水层播种、干（晒）出苗（表面干、下部湿润）；2叶1心期保持田间湿润；3叶后建立浅水层。对于机插栽培的田块，育苗阶段强调机械播种、湿润育苗，幼苗期以灌平沟水或跑马水为主，做到视天气管理；2叶1心后干湿交替，促进秧苗盘根；栽插前排水蹲苗，防止盘土含水过高影响起秧和栽插。</w:t>
      </w:r>
    </w:p>
    <w:p>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jc w:val="left"/>
        <w:textAlignment w:val="auto"/>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（二）有效分蘖阶段</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坚持浅水勤灌促分蘖的技术路线，兼顾以水封草措施落实，实施间隙灌溉，切忌长期灌水或淹没心叶，实现以水调肥、以水控草、以气促根，肥、水、气协调管理，促进分蘖早生快发和健壮生长。对于机插栽培的，强调薄水浅插，浅水活棵。</w:t>
      </w:r>
    </w:p>
    <w:p>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jc w:val="left"/>
        <w:textAlignment w:val="auto"/>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（三）无效分蘖至抽穗阶段</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无效分蘖阶段重点是搁田控苗。对于机插栽培的田块，采用够苗期搁田，即总苗数达到预期穗数苗时开始搁田；对于机穴播或人工直播栽培的田块，当总苗数达到预期穗数苗80%时脱水搁田，要求先轻后重，分次搁成，控制无效分蘖。</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幼穗分化阶段，应采用干湿交替、间隙灌溉方法，保持田间水气协调；剑叶抽出期保持浅水层；抽穗前脱水轻搁2～3天，以促进抽穗整齐。</w:t>
      </w:r>
    </w:p>
    <w:p>
      <w:pPr>
        <w:keepNext w:val="0"/>
        <w:keepLines w:val="0"/>
        <w:pageBreakBefore w:val="0"/>
        <w:widowControl w:val="0"/>
        <w:kinsoku/>
        <w:wordWrap/>
        <w:overflowPunct/>
        <w:topLinePunct w:val="0"/>
        <w:autoSpaceDE/>
        <w:autoSpaceDN/>
        <w:bidi w:val="0"/>
        <w:adjustRightInd/>
        <w:snapToGrid/>
        <w:spacing w:line="540" w:lineRule="exact"/>
        <w:ind w:left="0" w:firstLine="643" w:firstLineChars="200"/>
        <w:jc w:val="left"/>
        <w:textAlignment w:val="auto"/>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（四）抽穗至结实成熟阶段</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抽穗扬花期保持浅水层；灌浆结实期坚持间隙灌溉，做到浅水潮潮清，先湿后干；成熟后期防止断水过早，在收割前7～10天断水。</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黑体" w:hAnsi="黑体" w:eastAsia="黑体" w:cs="Times New Roman"/>
          <w:color w:val="000000"/>
          <w:sz w:val="32"/>
          <w:szCs w:val="32"/>
          <w:highlight w:val="none"/>
        </w:rPr>
      </w:pPr>
      <w:r>
        <w:rPr>
          <w:rFonts w:hint="eastAsia" w:ascii="黑体" w:hAnsi="黑体" w:eastAsia="黑体" w:cs="Times New Roman"/>
          <w:color w:val="000000"/>
          <w:sz w:val="32"/>
          <w:szCs w:val="32"/>
          <w:highlight w:val="none"/>
        </w:rPr>
        <w:t>六、适时收割，确保颗粒归仓</w:t>
      </w:r>
    </w:p>
    <w:p>
      <w:pPr>
        <w:keepNext w:val="0"/>
        <w:keepLines w:val="0"/>
        <w:pageBreakBefore w:val="0"/>
        <w:widowControl w:val="0"/>
        <w:kinsoku/>
        <w:wordWrap/>
        <w:overflowPunct/>
        <w:topLinePunct w:val="0"/>
        <w:autoSpaceDE/>
        <w:autoSpaceDN/>
        <w:bidi w:val="0"/>
        <w:adjustRightInd/>
        <w:snapToGrid/>
        <w:spacing w:line="540" w:lineRule="exact"/>
        <w:ind w:left="0" w:firstLine="640" w:firstLineChars="200"/>
        <w:jc w:val="left"/>
        <w:textAlignment w:val="auto"/>
        <w:rPr>
          <w:rFonts w:ascii="仿宋_GB2312" w:hAnsi="仿宋" w:eastAsia="仿宋_GB2312" w:cs="Times New Roman"/>
          <w:color w:val="000000"/>
          <w:sz w:val="32"/>
          <w:szCs w:val="32"/>
          <w:highlight w:val="none"/>
        </w:rPr>
      </w:pPr>
      <w:r>
        <w:rPr>
          <w:rFonts w:hint="eastAsia" w:ascii="仿宋_GB2312" w:hAnsi="仿宋" w:eastAsia="仿宋_GB2312" w:cs="Times New Roman"/>
          <w:color w:val="000000"/>
          <w:sz w:val="32"/>
          <w:szCs w:val="32"/>
          <w:highlight w:val="none"/>
        </w:rPr>
        <w:t>水稻的适期收获是确保粮食安全和稻米品质的重要环节。早中熟晚粳类优质稻品种建议在10月底前完成收割，防止因收获过晚影响稻米食味品质；迟熟类杂交稻品种建议在11月15 日前抓住晴好天气完成收割，确保颗粒归仓。</w:t>
      </w:r>
    </w:p>
    <w:p>
      <w:pPr>
        <w:keepNext w:val="0"/>
        <w:keepLines w:val="0"/>
        <w:pageBreakBefore w:val="0"/>
        <w:wordWrap/>
        <w:overflowPunct/>
        <w:topLinePunct w:val="0"/>
        <w:bidi w:val="0"/>
        <w:spacing w:line="560" w:lineRule="exact"/>
        <w:ind w:left="0" w:firstLine="640" w:firstLineChars="200"/>
        <w:jc w:val="left"/>
        <w:rPr>
          <w:rFonts w:hint="eastAsia" w:ascii="仿宋_GB2312" w:hAnsi="仿宋" w:eastAsia="仿宋_GB2312" w:cs="Times New Roman"/>
          <w:color w:val="000000"/>
          <w:sz w:val="32"/>
          <w:szCs w:val="32"/>
        </w:rPr>
      </w:pPr>
    </w:p>
    <w:p>
      <w:pPr>
        <w:keepNext w:val="0"/>
        <w:keepLines w:val="0"/>
        <w:pageBreakBefore w:val="0"/>
        <w:wordWrap/>
        <w:overflowPunct/>
        <w:topLinePunct w:val="0"/>
        <w:bidi w:val="0"/>
        <w:spacing w:line="560" w:lineRule="exact"/>
        <w:ind w:left="0" w:firstLine="640" w:firstLineChars="200"/>
        <w:jc w:val="left"/>
        <w:rPr>
          <w:rFonts w:hint="eastAsia" w:ascii="仿宋_GB2312" w:hAnsi="仿宋" w:eastAsia="仿宋_GB2312" w:cs="Times New Roman"/>
          <w:color w:val="000000"/>
          <w:sz w:val="32"/>
          <w:szCs w:val="32"/>
        </w:rPr>
      </w:pPr>
    </w:p>
    <w:p>
      <w:pPr>
        <w:keepNext w:val="0"/>
        <w:keepLines w:val="0"/>
        <w:pageBreakBefore w:val="0"/>
        <w:wordWrap/>
        <w:overflowPunct/>
        <w:topLinePunct w:val="0"/>
        <w:bidi w:val="0"/>
        <w:spacing w:line="560" w:lineRule="exact"/>
        <w:ind w:left="0" w:firstLine="640" w:firstLineChars="200"/>
        <w:jc w:val="left"/>
        <w:rPr>
          <w:rFonts w:hint="eastAsia" w:ascii="仿宋_GB2312" w:hAnsi="仿宋" w:eastAsia="仿宋_GB2312" w:cs="Times New Roman"/>
          <w:color w:val="000000"/>
          <w:sz w:val="32"/>
          <w:szCs w:val="32"/>
        </w:rPr>
      </w:pPr>
    </w:p>
    <w:p>
      <w:pPr>
        <w:keepNext w:val="0"/>
        <w:keepLines w:val="0"/>
        <w:pageBreakBefore w:val="0"/>
        <w:wordWrap/>
        <w:overflowPunct/>
        <w:topLinePunct w:val="0"/>
        <w:bidi w:val="0"/>
        <w:spacing w:line="560" w:lineRule="exact"/>
        <w:ind w:left="0" w:firstLine="640" w:firstLineChars="200"/>
        <w:jc w:val="left"/>
        <w:rPr>
          <w:rFonts w:hint="eastAsia" w:ascii="仿宋_GB2312" w:hAnsi="仿宋" w:eastAsia="仿宋_GB2312" w:cs="Times New Roman"/>
          <w:color w:val="000000"/>
          <w:sz w:val="32"/>
          <w:szCs w:val="32"/>
        </w:rPr>
      </w:pPr>
    </w:p>
    <w:p>
      <w:pPr>
        <w:keepNext w:val="0"/>
        <w:keepLines w:val="0"/>
        <w:pageBreakBefore w:val="0"/>
        <w:wordWrap/>
        <w:overflowPunct/>
        <w:topLinePunct w:val="0"/>
        <w:bidi w:val="0"/>
        <w:spacing w:line="560" w:lineRule="exact"/>
        <w:ind w:left="0" w:firstLine="640" w:firstLineChars="200"/>
        <w:jc w:val="left"/>
        <w:rPr>
          <w:rFonts w:hint="eastAsia" w:ascii="仿宋_GB2312" w:hAnsi="仿宋" w:eastAsia="仿宋_GB2312" w:cs="Times New Roman"/>
          <w:color w:val="000000"/>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jc w:val="left"/>
        <w:textAlignment w:val="auto"/>
        <w:rPr>
          <w:rFonts w:hint="eastAsia" w:ascii="黑体" w:hAnsi="黑体" w:eastAsia="黑体" w:cs="黑体"/>
          <w:color w:val="000000"/>
          <w:sz w:val="32"/>
          <w:szCs w:val="32"/>
          <w:lang w:val="en-US" w:eastAsia="zh-CN"/>
        </w:rPr>
        <w:sectPr>
          <w:pgSz w:w="11906" w:h="16838"/>
          <w:pgMar w:top="2098" w:right="1474" w:bottom="1984" w:left="1587" w:header="851" w:footer="992" w:gutter="0"/>
          <w:pgNumType w:fmt="numberInDash"/>
          <w:cols w:space="425"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60" w:lineRule="exact"/>
        <w:ind w:left="0"/>
        <w:jc w:val="left"/>
        <w:textAlignment w:val="auto"/>
        <w:rPr>
          <w:rFonts w:hint="eastAsia" w:ascii="仿宋_GB2312" w:hAnsi="仿宋" w:eastAsia="仿宋_GB2312" w:cs="Times New Roman"/>
          <w:color w:val="000000"/>
          <w:sz w:val="32"/>
          <w:szCs w:val="32"/>
          <w:lang w:val="en-US" w:eastAsia="zh-CN"/>
        </w:rPr>
      </w:pPr>
      <w:r>
        <w:rPr>
          <w:rFonts w:hint="eastAsia" w:ascii="黑体" w:hAnsi="黑体" w:eastAsia="黑体" w:cs="黑体"/>
          <w:color w:val="000000"/>
          <w:sz w:val="32"/>
          <w:szCs w:val="32"/>
          <w:lang w:val="en-US" w:eastAsia="zh-CN"/>
        </w:rPr>
        <w:t>附件5</w:t>
      </w:r>
      <w:r>
        <w:rPr>
          <w:rFonts w:hint="eastAsia" w:ascii="仿宋_GB2312" w:hAnsi="仿宋" w:eastAsia="仿宋_GB2312" w:cs="Times New Roman"/>
          <w:color w:val="000000"/>
          <w:sz w:val="32"/>
          <w:szCs w:val="32"/>
          <w:lang w:val="en-US" w:eastAsia="zh-CN"/>
        </w:rPr>
        <w:t xml:space="preserve"> </w:t>
      </w:r>
    </w:p>
    <w:p>
      <w:pPr>
        <w:keepNext w:val="0"/>
        <w:keepLines w:val="0"/>
        <w:pageBreakBefore w:val="0"/>
        <w:widowControl w:val="0"/>
        <w:kinsoku/>
        <w:wordWrap/>
        <w:overflowPunct/>
        <w:topLinePunct w:val="0"/>
        <w:autoSpaceDE/>
        <w:autoSpaceDN/>
        <w:bidi w:val="0"/>
        <w:snapToGrid w:val="0"/>
        <w:spacing w:line="560" w:lineRule="exact"/>
        <w:ind w:left="0"/>
        <w:jc w:val="center"/>
        <w:textAlignment w:val="auto"/>
        <w:rPr>
          <w:rFonts w:ascii="方正小标宋简体" w:hAnsi="方正小标宋简体" w:eastAsia="方正小标宋简体" w:cs="方正小标宋简体"/>
          <w:color w:val="000000"/>
          <w:sz w:val="44"/>
          <w:szCs w:val="44"/>
        </w:rPr>
      </w:pPr>
      <w:r>
        <w:rPr>
          <w:rFonts w:hint="eastAsia" w:ascii="方正小标宋简体" w:hAnsi="方正小标宋简体" w:eastAsia="方正小标宋简体" w:cs="方正小标宋简体"/>
          <w:color w:val="000000"/>
          <w:sz w:val="44"/>
          <w:szCs w:val="44"/>
        </w:rPr>
        <w:t>2024年崇明区稻田杂草、杂草稻防控技术</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643"/>
        <w:textAlignment w:val="auto"/>
        <w:outlineLvl w:val="0"/>
        <w:rPr>
          <w:rFonts w:hint="eastAsia" w:ascii="黑体" w:hAnsi="黑体" w:eastAsia="黑体" w:cs="黑体"/>
          <w:b w:val="0"/>
          <w:bCs w:val="0"/>
          <w:color w:val="000000"/>
          <w:sz w:val="32"/>
          <w:szCs w:val="32"/>
        </w:rPr>
      </w:pPr>
      <w:r>
        <w:rPr>
          <w:rFonts w:hint="eastAsia" w:ascii="黑体" w:hAnsi="黑体" w:eastAsia="黑体" w:cs="黑体"/>
          <w:b w:val="0"/>
          <w:bCs w:val="0"/>
          <w:color w:val="000000"/>
          <w:sz w:val="32"/>
          <w:szCs w:val="32"/>
        </w:rPr>
        <w:t>一、防控目标</w:t>
      </w:r>
    </w:p>
    <w:p>
      <w:pPr>
        <w:keepNext w:val="0"/>
        <w:keepLines w:val="0"/>
        <w:pageBreakBefore w:val="0"/>
        <w:widowControl w:val="0"/>
        <w:kinsoku/>
        <w:wordWrap/>
        <w:overflowPunct/>
        <w:topLinePunct w:val="0"/>
        <w:autoSpaceDE/>
        <w:autoSpaceDN/>
        <w:bidi w:val="0"/>
        <w:snapToGrid w:val="0"/>
        <w:spacing w:line="560" w:lineRule="exact"/>
        <w:ind w:left="0" w:firstLine="640"/>
        <w:textAlignment w:val="auto"/>
        <w:rPr>
          <w:rFonts w:ascii="仿宋_GB2312" w:hAnsi="仿宋" w:eastAsia="仿宋_GB2312" w:cs="Times New Roman"/>
          <w:color w:val="000000"/>
          <w:sz w:val="32"/>
          <w:szCs w:val="32"/>
        </w:rPr>
      </w:pPr>
      <w:r>
        <w:rPr>
          <w:rFonts w:hint="eastAsia" w:ascii="仿宋_GB2312" w:hAnsi="仿宋" w:eastAsia="仿宋_GB2312" w:cs="Times New Roman"/>
          <w:color w:val="000000"/>
          <w:kern w:val="0"/>
          <w:sz w:val="32"/>
          <w:szCs w:val="32"/>
        </w:rPr>
        <w:t>坚持“预防为主、综合防治”的植保方针，以粮食作物大面积单产提升和化学农药减量控害为目标，按照“综合防控、治早治小、减量增效”的原则，采取以农业措施为基础，化学防除为重要手</w:t>
      </w:r>
      <w:r>
        <w:rPr>
          <w:rFonts w:hint="eastAsia" w:ascii="仿宋_GB2312" w:hAnsi="仿宋" w:eastAsia="仿宋_GB2312" w:cs="Times New Roman"/>
          <w:color w:val="000000"/>
          <w:sz w:val="32"/>
          <w:szCs w:val="32"/>
        </w:rPr>
        <w:t>段，辅以物理、生态等防治措施的综合治理策略，强化科学安全用药指导，实现稻田杂草、杂草稻绿色可持续防治的目标。稻田杂草防治处置率达到90%以上，防治效果90%以上，危害损失控制在3%以下，水稻繁制种田不出现杂草稻危害。</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643"/>
        <w:textAlignment w:val="auto"/>
        <w:outlineLvl w:val="0"/>
        <w:rPr>
          <w:rFonts w:hint="eastAsia" w:ascii="黑体" w:hAnsi="黑体" w:eastAsia="黑体" w:cs="黑体"/>
          <w:b w:val="0"/>
          <w:bCs w:val="0"/>
          <w:color w:val="000000"/>
          <w:sz w:val="32"/>
          <w:szCs w:val="32"/>
        </w:rPr>
      </w:pPr>
      <w:r>
        <w:rPr>
          <w:rFonts w:hint="eastAsia" w:ascii="黑体" w:hAnsi="黑体" w:eastAsia="黑体" w:cs="黑体"/>
          <w:b w:val="0"/>
          <w:bCs w:val="0"/>
          <w:color w:val="000000"/>
          <w:sz w:val="32"/>
          <w:szCs w:val="32"/>
        </w:rPr>
        <w:t>二、防控原则</w:t>
      </w:r>
    </w:p>
    <w:p>
      <w:pPr>
        <w:keepNext w:val="0"/>
        <w:keepLines w:val="0"/>
        <w:pageBreakBefore w:val="0"/>
        <w:widowControl w:val="0"/>
        <w:kinsoku/>
        <w:wordWrap/>
        <w:overflowPunct/>
        <w:topLinePunct w:val="0"/>
        <w:autoSpaceDE/>
        <w:autoSpaceDN/>
        <w:bidi w:val="0"/>
        <w:snapToGrid w:val="0"/>
        <w:spacing w:line="560" w:lineRule="exact"/>
        <w:ind w:left="0" w:firstLine="640"/>
        <w:textAlignment w:val="auto"/>
        <w:rPr>
          <w:rFonts w:ascii="仿宋_GB2312" w:hAnsi="仿宋" w:eastAsia="仿宋_GB2312" w:cs="Times New Roman"/>
          <w:color w:val="000000"/>
          <w:sz w:val="32"/>
          <w:szCs w:val="32"/>
        </w:rPr>
      </w:pPr>
      <w:r>
        <w:rPr>
          <w:rFonts w:hint="eastAsia" w:ascii="楷体_GB2312" w:hAnsi="楷体_GB2312" w:eastAsia="楷体_GB2312" w:cs="楷体_GB2312"/>
          <w:color w:val="000000"/>
          <w:sz w:val="32"/>
          <w:szCs w:val="32"/>
        </w:rPr>
        <w:t>坚持综合防控。</w:t>
      </w:r>
      <w:r>
        <w:rPr>
          <w:rFonts w:hint="eastAsia" w:ascii="仿宋_GB2312" w:hAnsi="仿宋" w:eastAsia="仿宋_GB2312" w:cs="Times New Roman"/>
          <w:color w:val="000000"/>
          <w:sz w:val="32"/>
          <w:szCs w:val="32"/>
        </w:rPr>
        <w:t>充分发挥轮作休耕、深耕除草、覆盖除草、调控水层等农业、物理及生态措施的作用，发挥生态控草作用，降低杂草发生基数，科学推广“封杀结合”的化学除草技术。</w:t>
      </w:r>
    </w:p>
    <w:p>
      <w:pPr>
        <w:keepNext w:val="0"/>
        <w:keepLines w:val="0"/>
        <w:pageBreakBefore w:val="0"/>
        <w:widowControl w:val="0"/>
        <w:kinsoku/>
        <w:wordWrap/>
        <w:overflowPunct/>
        <w:topLinePunct w:val="0"/>
        <w:autoSpaceDE/>
        <w:autoSpaceDN/>
        <w:bidi w:val="0"/>
        <w:snapToGrid w:val="0"/>
        <w:spacing w:line="560" w:lineRule="exact"/>
        <w:ind w:left="0" w:firstLine="640"/>
        <w:textAlignment w:val="auto"/>
        <w:rPr>
          <w:rFonts w:ascii="仿宋_GB2312" w:hAnsi="仿宋" w:eastAsia="仿宋_GB2312" w:cs="Times New Roman"/>
          <w:color w:val="000000"/>
          <w:sz w:val="32"/>
          <w:szCs w:val="32"/>
        </w:rPr>
      </w:pPr>
      <w:r>
        <w:rPr>
          <w:rFonts w:hint="eastAsia" w:ascii="楷体_GB2312" w:hAnsi="楷体_GB2312" w:eastAsia="楷体_GB2312" w:cs="楷体_GB2312"/>
          <w:color w:val="000000"/>
          <w:sz w:val="32"/>
          <w:szCs w:val="32"/>
        </w:rPr>
        <w:t>坚持治早治小。</w:t>
      </w:r>
      <w:r>
        <w:rPr>
          <w:rFonts w:hint="eastAsia" w:ascii="仿宋_GB2312" w:hAnsi="仿宋" w:eastAsia="仿宋_GB2312" w:cs="Times New Roman"/>
          <w:color w:val="000000"/>
          <w:sz w:val="32"/>
          <w:szCs w:val="32"/>
        </w:rPr>
        <w:t>出苗期和幼苗期是杂草防控的关键阶段。根据粮食作物栽培模式、土壤墒情以及除草剂特性，优先进行土壤封闭处理，在杂草幼苗期趁早实施茎叶喷雾处理，以保证杂草防除效果。</w:t>
      </w:r>
    </w:p>
    <w:p>
      <w:pPr>
        <w:keepNext w:val="0"/>
        <w:keepLines w:val="0"/>
        <w:pageBreakBefore w:val="0"/>
        <w:widowControl w:val="0"/>
        <w:kinsoku/>
        <w:wordWrap/>
        <w:overflowPunct/>
        <w:topLinePunct w:val="0"/>
        <w:autoSpaceDE/>
        <w:autoSpaceDN/>
        <w:bidi w:val="0"/>
        <w:snapToGrid w:val="0"/>
        <w:spacing w:line="560" w:lineRule="exact"/>
        <w:ind w:left="0" w:firstLine="640"/>
        <w:textAlignment w:val="auto"/>
        <w:rPr>
          <w:rFonts w:ascii="仿宋_GB2312" w:hAnsi="仿宋" w:eastAsia="仿宋_GB2312" w:cs="Times New Roman"/>
          <w:color w:val="000000"/>
          <w:sz w:val="32"/>
          <w:szCs w:val="32"/>
        </w:rPr>
      </w:pPr>
      <w:r>
        <w:rPr>
          <w:rFonts w:hint="eastAsia" w:ascii="楷体_GB2312" w:hAnsi="楷体_GB2312" w:eastAsia="楷体_GB2312" w:cs="楷体_GB2312"/>
          <w:color w:val="000000"/>
          <w:sz w:val="32"/>
          <w:szCs w:val="32"/>
        </w:rPr>
        <w:t>坚持减量增效。</w:t>
      </w:r>
      <w:r>
        <w:rPr>
          <w:rFonts w:hint="eastAsia" w:ascii="仿宋_GB2312" w:hAnsi="仿宋" w:eastAsia="仿宋_GB2312" w:cs="Times New Roman"/>
          <w:color w:val="000000"/>
          <w:sz w:val="32"/>
          <w:szCs w:val="32"/>
        </w:rPr>
        <w:t>加强除草剂科学安全使用指导，大力推广除草剂减量使用技术，选用高效安全除草剂品种和增效助剂，轮换使用不同作用机理除草剂产品，坚持对靶选药、适时适量施药，严防违规用药，避免乱用药，减少因药剂使用不当引起的药害事故或飘移现象。</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643"/>
        <w:textAlignment w:val="auto"/>
        <w:outlineLvl w:val="0"/>
        <w:rPr>
          <w:rFonts w:hint="eastAsia" w:ascii="黑体" w:hAnsi="黑体" w:eastAsia="黑体" w:cs="黑体"/>
          <w:b w:val="0"/>
          <w:bCs w:val="0"/>
          <w:color w:val="000000"/>
          <w:sz w:val="32"/>
          <w:szCs w:val="32"/>
        </w:rPr>
      </w:pPr>
      <w:r>
        <w:rPr>
          <w:rFonts w:hint="eastAsia" w:ascii="黑体" w:hAnsi="黑体" w:eastAsia="黑体" w:cs="黑体"/>
          <w:b w:val="0"/>
          <w:bCs w:val="0"/>
          <w:color w:val="000000"/>
          <w:sz w:val="32"/>
          <w:szCs w:val="32"/>
        </w:rPr>
        <w:t>三、防控</w:t>
      </w:r>
      <w:r>
        <w:rPr>
          <w:rFonts w:hint="eastAsia" w:ascii="黑体" w:hAnsi="黑体" w:eastAsia="黑体" w:cs="黑体"/>
          <w:b w:val="0"/>
          <w:bCs w:val="0"/>
          <w:color w:val="000000"/>
          <w:sz w:val="32"/>
          <w:szCs w:val="32"/>
          <w:lang w:val="en-US" w:eastAsia="zh-CN"/>
        </w:rPr>
        <w:t>技术</w:t>
      </w:r>
      <w:r>
        <w:rPr>
          <w:rFonts w:hint="eastAsia" w:ascii="黑体" w:hAnsi="黑体" w:eastAsia="黑体" w:cs="黑体"/>
          <w:b w:val="0"/>
          <w:bCs w:val="0"/>
          <w:color w:val="000000"/>
          <w:sz w:val="32"/>
          <w:szCs w:val="32"/>
        </w:rPr>
        <w:t>措施</w:t>
      </w:r>
    </w:p>
    <w:p>
      <w:pPr>
        <w:keepNext w:val="0"/>
        <w:keepLines w:val="0"/>
        <w:pageBreakBefore w:val="0"/>
        <w:widowControl w:val="0"/>
        <w:kinsoku/>
        <w:wordWrap/>
        <w:overflowPunct/>
        <w:topLinePunct w:val="0"/>
        <w:autoSpaceDE/>
        <w:autoSpaceDN/>
        <w:bidi w:val="0"/>
        <w:spacing w:line="560" w:lineRule="exact"/>
        <w:ind w:left="0" w:firstLine="643" w:firstLineChars="200"/>
        <w:jc w:val="left"/>
        <w:textAlignment w:val="auto"/>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（一）非化学</w:t>
      </w:r>
      <w:r>
        <w:rPr>
          <w:rFonts w:hint="eastAsia" w:ascii="楷体_GB2312" w:hAnsi="楷体_GB2312" w:eastAsia="楷体_GB2312" w:cs="楷体_GB2312"/>
          <w:b/>
          <w:bCs/>
          <w:color w:val="000000"/>
          <w:sz w:val="32"/>
          <w:szCs w:val="32"/>
          <w:lang w:val="en-US" w:eastAsia="zh-CN"/>
        </w:rPr>
        <w:t>防控技术</w:t>
      </w:r>
      <w:r>
        <w:rPr>
          <w:rFonts w:hint="eastAsia" w:ascii="楷体_GB2312" w:hAnsi="楷体_GB2312" w:eastAsia="楷体_GB2312" w:cs="楷体_GB2312"/>
          <w:b/>
          <w:bCs/>
          <w:color w:val="000000"/>
          <w:sz w:val="32"/>
          <w:szCs w:val="32"/>
        </w:rPr>
        <w:t>措施</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643"/>
        <w:textAlignment w:val="auto"/>
        <w:outlineLvl w:val="0"/>
        <w:rPr>
          <w:rFonts w:ascii="仿宋_GB2312" w:hAnsi="仿宋" w:eastAsia="仿宋_GB2312" w:cs="Times New Roman"/>
          <w:color w:val="000000"/>
          <w:kern w:val="0"/>
          <w:sz w:val="32"/>
          <w:szCs w:val="32"/>
        </w:rPr>
      </w:pPr>
      <w:r>
        <w:rPr>
          <w:rFonts w:hint="eastAsia" w:ascii="仿宋_GB2312" w:hAnsi="仿宋" w:eastAsia="仿宋_GB2312" w:cs="Times New Roman"/>
          <w:b/>
          <w:bCs/>
          <w:color w:val="000000"/>
          <w:kern w:val="0"/>
          <w:sz w:val="32"/>
          <w:szCs w:val="32"/>
        </w:rPr>
        <w:t>1</w:t>
      </w:r>
      <w:r>
        <w:rPr>
          <w:rFonts w:hint="eastAsia" w:ascii="仿宋_GB2312" w:hAnsi="仿宋" w:eastAsia="仿宋_GB2312" w:cs="Times New Roman"/>
          <w:b/>
          <w:bCs/>
          <w:color w:val="000000"/>
          <w:kern w:val="0"/>
          <w:sz w:val="32"/>
          <w:szCs w:val="32"/>
          <w:lang w:val="en-US" w:eastAsia="zh-CN"/>
        </w:rPr>
        <w:t>.</w:t>
      </w:r>
      <w:r>
        <w:rPr>
          <w:rFonts w:hint="eastAsia" w:ascii="仿宋_GB2312" w:hAnsi="仿宋" w:eastAsia="仿宋_GB2312" w:cs="Times New Roman"/>
          <w:b/>
          <w:bCs/>
          <w:color w:val="000000"/>
          <w:kern w:val="0"/>
          <w:sz w:val="32"/>
          <w:szCs w:val="32"/>
        </w:rPr>
        <w:t>精选种子。</w:t>
      </w:r>
      <w:r>
        <w:rPr>
          <w:rFonts w:hint="eastAsia" w:ascii="仿宋_GB2312" w:hAnsi="仿宋" w:eastAsia="仿宋_GB2312" w:cs="Times New Roman"/>
          <w:color w:val="000000"/>
          <w:kern w:val="0"/>
          <w:sz w:val="32"/>
          <w:szCs w:val="32"/>
        </w:rPr>
        <w:t>播种前对稻种进行筛扬，淘汰掉稻种中杂质、杂草、杂草稻种子，杂草稻的种子检出率控制在万分之一以下。严格清理机械，防止杂草稻种子随农机传播。</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643"/>
        <w:textAlignment w:val="auto"/>
        <w:outlineLvl w:val="0"/>
        <w:rPr>
          <w:rFonts w:ascii="仿宋_GB2312" w:hAnsi="仿宋" w:eastAsia="仿宋_GB2312" w:cs="Times New Roman"/>
          <w:color w:val="000000"/>
          <w:kern w:val="0"/>
          <w:sz w:val="32"/>
          <w:szCs w:val="32"/>
        </w:rPr>
      </w:pPr>
      <w:r>
        <w:rPr>
          <w:rFonts w:hint="eastAsia" w:ascii="仿宋_GB2312" w:hAnsi="仿宋" w:eastAsia="仿宋_GB2312" w:cs="Times New Roman"/>
          <w:b/>
          <w:bCs/>
          <w:color w:val="000000"/>
          <w:kern w:val="0"/>
          <w:sz w:val="32"/>
          <w:szCs w:val="32"/>
        </w:rPr>
        <w:t>2</w:t>
      </w:r>
      <w:r>
        <w:rPr>
          <w:rFonts w:hint="eastAsia" w:ascii="仿宋_GB2312" w:hAnsi="仿宋" w:eastAsia="仿宋_GB2312" w:cs="Times New Roman"/>
          <w:b/>
          <w:bCs/>
          <w:color w:val="000000"/>
          <w:kern w:val="0"/>
          <w:sz w:val="32"/>
          <w:szCs w:val="32"/>
          <w:lang w:val="en-US" w:eastAsia="zh-CN"/>
        </w:rPr>
        <w:t>.</w:t>
      </w:r>
      <w:r>
        <w:rPr>
          <w:rFonts w:hint="eastAsia" w:ascii="仿宋_GB2312" w:hAnsi="仿宋" w:eastAsia="仿宋_GB2312" w:cs="Times New Roman"/>
          <w:b/>
          <w:bCs/>
          <w:color w:val="000000"/>
          <w:kern w:val="0"/>
          <w:sz w:val="32"/>
          <w:szCs w:val="32"/>
        </w:rPr>
        <w:t>基础设施。</w:t>
      </w:r>
      <w:r>
        <w:rPr>
          <w:rFonts w:hint="eastAsia" w:ascii="仿宋_GB2312" w:hAnsi="仿宋" w:eastAsia="仿宋_GB2312" w:cs="Times New Roman"/>
          <w:color w:val="000000"/>
          <w:spacing w:val="8"/>
          <w:sz w:val="32"/>
          <w:szCs w:val="32"/>
          <w:shd w:val="clear" w:color="auto" w:fill="FFFFFF"/>
        </w:rPr>
        <w:t>修缮农</w:t>
      </w:r>
      <w:r>
        <w:rPr>
          <w:rFonts w:hint="eastAsia" w:ascii="仿宋_GB2312" w:hAnsi="仿宋" w:eastAsia="仿宋_GB2312" w:cs="Times New Roman"/>
          <w:color w:val="000000"/>
          <w:kern w:val="0"/>
          <w:sz w:val="32"/>
          <w:szCs w:val="32"/>
        </w:rPr>
        <w:t>田基础设施，使田埂完整，沟渠通畅，确保良好的保水和排灌功能。实施精细化机械作业，有效提高耕整地质量，力争同一块田块高低落差控制在5cm以内，特别是秸秆还田的田块，以防未腐熟的高墩秸秆影响除草效果。</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643"/>
        <w:textAlignment w:val="auto"/>
        <w:outlineLvl w:val="0"/>
        <w:rPr>
          <w:rFonts w:ascii="仿宋_GB2312" w:hAnsi="仿宋" w:eastAsia="仿宋_GB2312" w:cs="Times New Roman"/>
          <w:color w:val="000000"/>
          <w:kern w:val="0"/>
          <w:sz w:val="32"/>
          <w:szCs w:val="32"/>
        </w:rPr>
      </w:pPr>
      <w:r>
        <w:rPr>
          <w:rFonts w:hint="eastAsia" w:ascii="仿宋_GB2312" w:hAnsi="仿宋" w:eastAsia="仿宋_GB2312" w:cs="Times New Roman"/>
          <w:b/>
          <w:bCs/>
          <w:color w:val="000000"/>
          <w:kern w:val="0"/>
          <w:sz w:val="32"/>
          <w:szCs w:val="32"/>
        </w:rPr>
        <w:t>3</w:t>
      </w:r>
      <w:r>
        <w:rPr>
          <w:rFonts w:hint="eastAsia" w:ascii="仿宋_GB2312" w:hAnsi="仿宋" w:eastAsia="仿宋_GB2312" w:cs="Times New Roman"/>
          <w:b/>
          <w:bCs/>
          <w:color w:val="000000"/>
          <w:kern w:val="0"/>
          <w:sz w:val="32"/>
          <w:szCs w:val="32"/>
          <w:lang w:val="en-US" w:eastAsia="zh-CN"/>
        </w:rPr>
        <w:t>.</w:t>
      </w:r>
      <w:r>
        <w:rPr>
          <w:rFonts w:hint="eastAsia" w:ascii="仿宋_GB2312" w:hAnsi="仿宋" w:eastAsia="仿宋_GB2312" w:cs="Times New Roman"/>
          <w:b/>
          <w:bCs/>
          <w:color w:val="000000"/>
          <w:kern w:val="0"/>
          <w:sz w:val="32"/>
          <w:szCs w:val="32"/>
        </w:rPr>
        <w:t>种植模式。</w:t>
      </w:r>
      <w:r>
        <w:rPr>
          <w:rFonts w:hint="eastAsia" w:ascii="仿宋_GB2312" w:hAnsi="仿宋" w:eastAsia="仿宋_GB2312" w:cs="Times New Roman"/>
          <w:color w:val="000000"/>
          <w:kern w:val="0"/>
          <w:sz w:val="32"/>
          <w:szCs w:val="32"/>
        </w:rPr>
        <w:t>对于上年杂草、杂草稻发生严重的田块，改直播稻为移栽稻，或种植大豆等旱地作物，压低杂草基数。</w:t>
      </w:r>
    </w:p>
    <w:p>
      <w:pPr>
        <w:keepNext w:val="0"/>
        <w:keepLines w:val="0"/>
        <w:pageBreakBefore w:val="0"/>
        <w:widowControl w:val="0"/>
        <w:kinsoku/>
        <w:wordWrap/>
        <w:overflowPunct/>
        <w:topLinePunct w:val="0"/>
        <w:autoSpaceDE/>
        <w:autoSpaceDN/>
        <w:bidi w:val="0"/>
        <w:adjustRightInd w:val="0"/>
        <w:snapToGrid w:val="0"/>
        <w:spacing w:before="0" w:beforeAutospacing="0" w:after="0" w:afterAutospacing="0" w:line="560" w:lineRule="exact"/>
        <w:ind w:left="0" w:right="0" w:firstLine="643" w:firstLineChars="200"/>
        <w:jc w:val="left"/>
        <w:textAlignment w:val="auto"/>
        <w:rPr>
          <w:rFonts w:ascii="仿宋_GB2312" w:hAnsi="仿宋" w:eastAsia="仿宋_GB2312" w:cs="宋体-18030"/>
          <w:snapToGrid w:val="0"/>
          <w:color w:val="000000"/>
          <w:kern w:val="2"/>
          <w:sz w:val="32"/>
          <w:szCs w:val="32"/>
          <w:lang w:val="en-US" w:eastAsia="zh-CN" w:bidi="ar"/>
        </w:rPr>
      </w:pPr>
      <w:r>
        <w:rPr>
          <w:rFonts w:hint="eastAsia" w:ascii="仿宋_GB2312" w:hAnsi="仿宋" w:eastAsia="仿宋_GB2312" w:cs="Times New Roman"/>
          <w:b/>
          <w:bCs/>
          <w:color w:val="000000"/>
          <w:kern w:val="0"/>
          <w:sz w:val="32"/>
          <w:szCs w:val="32"/>
          <w:lang w:val="en-US" w:eastAsia="zh-CN" w:bidi="ar"/>
        </w:rPr>
        <w:t>4</w:t>
      </w:r>
      <w:r>
        <w:rPr>
          <w:rFonts w:hint="eastAsia" w:ascii="仿宋_GB2312" w:hAnsi="仿宋" w:eastAsia="仿宋_GB2312" w:cs="Times New Roman"/>
          <w:b/>
          <w:bCs/>
          <w:color w:val="000000"/>
          <w:kern w:val="0"/>
          <w:sz w:val="32"/>
          <w:szCs w:val="32"/>
          <w:lang w:val="en-US" w:eastAsia="zh-CN" w:bidi="ar-SA"/>
        </w:rPr>
        <w:t>.</w:t>
      </w:r>
      <w:r>
        <w:rPr>
          <w:rFonts w:hint="eastAsia" w:ascii="仿宋_GB2312" w:hAnsi="仿宋" w:eastAsia="仿宋_GB2312" w:cs="Times New Roman"/>
          <w:b/>
          <w:bCs/>
          <w:color w:val="000000"/>
          <w:kern w:val="0"/>
          <w:sz w:val="32"/>
          <w:szCs w:val="32"/>
          <w:lang w:val="en-US" w:eastAsia="zh-CN" w:bidi="ar"/>
        </w:rPr>
        <w:t>物理防治</w:t>
      </w:r>
      <w:r>
        <w:rPr>
          <w:rFonts w:hint="eastAsia" w:ascii="仿宋_GB2312" w:hAnsi="仿宋" w:eastAsia="仿宋_GB2312" w:cs="Times New Roman"/>
          <w:color w:val="000000"/>
          <w:kern w:val="0"/>
          <w:sz w:val="32"/>
          <w:szCs w:val="32"/>
          <w:lang w:val="en-US" w:eastAsia="zh-CN" w:bidi="ar"/>
        </w:rPr>
        <w:t>。</w:t>
      </w:r>
      <w:r>
        <w:rPr>
          <w:rFonts w:hint="eastAsia" w:ascii="仿宋_GB2312" w:hAnsi="仿宋" w:eastAsia="仿宋_GB2312" w:cs="宋体-18030"/>
          <w:snapToGrid w:val="0"/>
          <w:color w:val="000000"/>
          <w:kern w:val="2"/>
          <w:sz w:val="32"/>
          <w:szCs w:val="32"/>
          <w:lang w:val="en-US" w:eastAsia="zh-CN" w:bidi="ar"/>
        </w:rPr>
        <w:t>在进水口安装滤网</w:t>
      </w:r>
      <w:r>
        <w:rPr>
          <w:rFonts w:hint="eastAsia" w:ascii="仿宋_GB2312" w:hAnsi="仿宋" w:eastAsia="仿宋_GB2312" w:cs="Times New Roman"/>
          <w:color w:val="000000"/>
          <w:kern w:val="0"/>
          <w:sz w:val="32"/>
          <w:szCs w:val="32"/>
          <w:lang w:val="en-US" w:eastAsia="zh-CN" w:bidi="ar"/>
        </w:rPr>
        <w:t>拦截杂草种子</w:t>
      </w:r>
      <w:r>
        <w:rPr>
          <w:rFonts w:hint="eastAsia" w:ascii="仿宋_GB2312" w:hAnsi="仿宋" w:eastAsia="仿宋_GB2312" w:cs="宋体-18030"/>
          <w:snapToGrid w:val="0"/>
          <w:color w:val="000000"/>
          <w:kern w:val="2"/>
          <w:sz w:val="32"/>
          <w:szCs w:val="32"/>
          <w:lang w:val="en-US" w:eastAsia="zh-CN" w:bidi="ar"/>
        </w:rPr>
        <w:t>，播栽前清除漂浮的杂草、浪渣等，减少土壤中的杂草种子量，也可选择除草机代替人工除草。</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643"/>
        <w:textAlignment w:val="auto"/>
        <w:outlineLvl w:val="0"/>
        <w:rPr>
          <w:rFonts w:ascii="仿宋_GB2312" w:hAnsi="宋体" w:eastAsia="仿宋_GB2312" w:cs="宋体-18030"/>
          <w:snapToGrid w:val="0"/>
          <w:color w:val="000000"/>
          <w:sz w:val="32"/>
          <w:szCs w:val="32"/>
        </w:rPr>
      </w:pPr>
      <w:r>
        <w:rPr>
          <w:rFonts w:hint="eastAsia" w:ascii="仿宋_GB2312" w:hAnsi="仿宋" w:eastAsia="仿宋_GB2312" w:cs="Times New Roman"/>
          <w:b/>
          <w:bCs/>
          <w:color w:val="000000"/>
          <w:kern w:val="0"/>
          <w:sz w:val="32"/>
          <w:szCs w:val="32"/>
        </w:rPr>
        <w:t>5</w:t>
      </w:r>
      <w:r>
        <w:rPr>
          <w:rFonts w:hint="eastAsia" w:ascii="仿宋_GB2312" w:hAnsi="仿宋" w:eastAsia="仿宋_GB2312" w:cs="Times New Roman"/>
          <w:b/>
          <w:bCs/>
          <w:color w:val="000000"/>
          <w:kern w:val="0"/>
          <w:sz w:val="32"/>
          <w:szCs w:val="32"/>
          <w:lang w:val="en-US" w:eastAsia="zh-CN"/>
        </w:rPr>
        <w:t>.</w:t>
      </w:r>
      <w:r>
        <w:rPr>
          <w:rFonts w:hint="eastAsia" w:ascii="仿宋_GB2312" w:hAnsi="仿宋" w:eastAsia="仿宋_GB2312" w:cs="Times New Roman"/>
          <w:b/>
          <w:bCs/>
          <w:color w:val="000000"/>
          <w:kern w:val="0"/>
          <w:sz w:val="32"/>
          <w:szCs w:val="32"/>
        </w:rPr>
        <w:t>养草灭草。</w:t>
      </w:r>
      <w:r>
        <w:rPr>
          <w:rFonts w:hint="eastAsia" w:ascii="仿宋_GB2312" w:hAnsi="宋体" w:eastAsia="仿宋_GB2312" w:cs="宋体-18030"/>
          <w:snapToGrid w:val="0"/>
          <w:color w:val="000000"/>
          <w:sz w:val="32"/>
          <w:szCs w:val="32"/>
        </w:rPr>
        <w:t>于4月下旬结合绿肥耕翻进行</w:t>
      </w:r>
      <w:r>
        <w:rPr>
          <w:rFonts w:hint="eastAsia" w:ascii="Calibri" w:hAnsi="仿宋" w:eastAsia="仿宋" w:cs="Times New Roman"/>
          <w:color w:val="000000"/>
          <w:kern w:val="0"/>
          <w:sz w:val="28"/>
          <w:szCs w:val="28"/>
        </w:rPr>
        <w:t>，</w:t>
      </w:r>
      <w:r>
        <w:rPr>
          <w:rFonts w:ascii="仿宋_GB2312" w:hAnsi="宋体" w:eastAsia="仿宋_GB2312" w:cs="宋体-18030"/>
          <w:snapToGrid w:val="0"/>
          <w:color w:val="000000"/>
          <w:sz w:val="32"/>
          <w:szCs w:val="32"/>
        </w:rPr>
        <w:t>一般田块开展一次，上年杂草重发的田块建议开展两次。提前耕翻后及时上深水</w:t>
      </w:r>
      <w:r>
        <w:rPr>
          <w:rFonts w:hint="eastAsia" w:ascii="仿宋_GB2312" w:hAnsi="宋体" w:eastAsia="仿宋_GB2312" w:cs="宋体-18030"/>
          <w:snapToGrid w:val="0"/>
          <w:color w:val="000000"/>
          <w:sz w:val="32"/>
          <w:szCs w:val="32"/>
        </w:rPr>
        <w:t>并</w:t>
      </w:r>
      <w:r>
        <w:rPr>
          <w:rFonts w:ascii="仿宋_GB2312" w:hAnsi="宋体" w:eastAsia="仿宋_GB2312" w:cs="宋体-18030"/>
          <w:snapToGrid w:val="0"/>
          <w:color w:val="000000"/>
          <w:sz w:val="32"/>
          <w:szCs w:val="32"/>
        </w:rPr>
        <w:t>保水2～3天，田间保持干湿交替的水浆管理，诱导杂草、杂草稻种子提早萌发出苗，20天</w:t>
      </w:r>
      <w:r>
        <w:rPr>
          <w:rFonts w:hint="eastAsia" w:ascii="仿宋_GB2312" w:hAnsi="宋体" w:eastAsia="仿宋_GB2312" w:cs="宋体-18030"/>
          <w:snapToGrid w:val="0"/>
          <w:color w:val="000000"/>
          <w:sz w:val="32"/>
          <w:szCs w:val="32"/>
        </w:rPr>
        <w:t>后杂草苗齐</w:t>
      </w:r>
      <w:r>
        <w:rPr>
          <w:rFonts w:ascii="仿宋_GB2312" w:hAnsi="宋体" w:eastAsia="仿宋_GB2312" w:cs="宋体-18030"/>
          <w:snapToGrid w:val="0"/>
          <w:color w:val="000000"/>
          <w:sz w:val="32"/>
          <w:szCs w:val="32"/>
        </w:rPr>
        <w:t>后翻耕，一举消灭已出苗杂草和杂草稻。</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643"/>
        <w:textAlignment w:val="auto"/>
        <w:outlineLvl w:val="0"/>
        <w:rPr>
          <w:rFonts w:ascii="仿宋_GB2312" w:hAnsi="仿宋" w:eastAsia="仿宋_GB2312" w:cs="Times New Roman"/>
          <w:color w:val="000000"/>
          <w:kern w:val="0"/>
          <w:sz w:val="32"/>
          <w:szCs w:val="32"/>
        </w:rPr>
      </w:pPr>
      <w:r>
        <w:rPr>
          <w:rFonts w:hint="eastAsia" w:ascii="仿宋_GB2312" w:hAnsi="仿宋" w:eastAsia="仿宋_GB2312" w:cs="Times New Roman"/>
          <w:b/>
          <w:bCs/>
          <w:color w:val="000000"/>
          <w:kern w:val="0"/>
          <w:sz w:val="32"/>
          <w:szCs w:val="32"/>
        </w:rPr>
        <w:t>6</w:t>
      </w:r>
      <w:r>
        <w:rPr>
          <w:rFonts w:hint="eastAsia" w:ascii="仿宋_GB2312" w:hAnsi="仿宋" w:eastAsia="仿宋_GB2312" w:cs="Times New Roman"/>
          <w:b/>
          <w:bCs/>
          <w:color w:val="000000"/>
          <w:kern w:val="0"/>
          <w:sz w:val="32"/>
          <w:szCs w:val="32"/>
          <w:lang w:val="en-US" w:eastAsia="zh-CN"/>
        </w:rPr>
        <w:t>.</w:t>
      </w:r>
      <w:r>
        <w:rPr>
          <w:rFonts w:hint="eastAsia" w:ascii="仿宋_GB2312" w:hAnsi="宋体" w:eastAsia="仿宋_GB2312" w:cs="宋体-18030"/>
          <w:b/>
          <w:snapToGrid w:val="0"/>
          <w:color w:val="000000"/>
          <w:sz w:val="32"/>
          <w:szCs w:val="32"/>
        </w:rPr>
        <w:t>人工除草</w:t>
      </w:r>
      <w:r>
        <w:rPr>
          <w:rFonts w:hint="eastAsia" w:ascii="仿宋_GB2312" w:hAnsi="宋体" w:eastAsia="仿宋_GB2312" w:cs="宋体-18030"/>
          <w:b/>
          <w:snapToGrid w:val="0"/>
          <w:color w:val="000000"/>
          <w:sz w:val="32"/>
          <w:szCs w:val="32"/>
          <w:lang w:eastAsia="zh-CN"/>
        </w:rPr>
        <w:t>。</w:t>
      </w:r>
      <w:r>
        <w:rPr>
          <w:rFonts w:ascii="仿宋_GB2312" w:hAnsi="仿宋" w:eastAsia="仿宋_GB2312" w:cs="Times New Roman"/>
          <w:color w:val="000000"/>
          <w:kern w:val="0"/>
          <w:sz w:val="32"/>
          <w:szCs w:val="32"/>
        </w:rPr>
        <w:t>采取“拔早拔小拔了”策略，对前期防除效果差、杂草稻发生严重的田块，</w:t>
      </w:r>
      <w:r>
        <w:rPr>
          <w:rFonts w:hint="eastAsia" w:ascii="仿宋_GB2312" w:hAnsi="仿宋" w:eastAsia="仿宋_GB2312" w:cs="Times New Roman"/>
          <w:color w:val="000000"/>
          <w:kern w:val="0"/>
          <w:sz w:val="32"/>
          <w:szCs w:val="32"/>
          <w:lang w:val="en-US" w:eastAsia="zh-CN"/>
        </w:rPr>
        <w:t>尽早</w:t>
      </w:r>
      <w:r>
        <w:rPr>
          <w:rFonts w:ascii="仿宋_GB2312" w:hAnsi="仿宋" w:eastAsia="仿宋_GB2312" w:cs="Times New Roman"/>
          <w:color w:val="000000"/>
          <w:kern w:val="0"/>
          <w:sz w:val="32"/>
          <w:szCs w:val="32"/>
        </w:rPr>
        <w:t>分批多次进行人工拔除。杂草稻在8月中下旬抽穗至成熟之前进行剪穗并带出田块彻底销毁</w:t>
      </w:r>
      <w:r>
        <w:rPr>
          <w:rFonts w:hint="eastAsia" w:ascii="仿宋_GB2312" w:hAnsi="仿宋" w:eastAsia="仿宋_GB2312" w:cs="Times New Roman"/>
          <w:color w:val="000000"/>
          <w:kern w:val="0"/>
          <w:sz w:val="32"/>
          <w:szCs w:val="32"/>
          <w:lang w:eastAsia="zh-CN"/>
        </w:rPr>
        <w:t>，</w:t>
      </w:r>
      <w:r>
        <w:rPr>
          <w:rFonts w:hint="eastAsia" w:ascii="仿宋_GB2312" w:hAnsi="仿宋" w:eastAsia="仿宋_GB2312" w:cs="Times New Roman"/>
          <w:color w:val="000000"/>
          <w:kern w:val="0"/>
          <w:sz w:val="32"/>
          <w:szCs w:val="32"/>
        </w:rPr>
        <w:t>以降低来年的基数。</w:t>
      </w:r>
    </w:p>
    <w:p>
      <w:pPr>
        <w:keepNext w:val="0"/>
        <w:keepLines w:val="0"/>
        <w:pageBreakBefore w:val="0"/>
        <w:widowControl w:val="0"/>
        <w:kinsoku/>
        <w:wordWrap/>
        <w:overflowPunct/>
        <w:topLinePunct w:val="0"/>
        <w:autoSpaceDE/>
        <w:autoSpaceDN/>
        <w:bidi w:val="0"/>
        <w:spacing w:line="560" w:lineRule="exact"/>
        <w:ind w:left="0" w:firstLine="643"/>
        <w:textAlignment w:val="auto"/>
        <w:rPr>
          <w:rFonts w:ascii="仿宋_GB2312" w:hAnsi="仿宋" w:eastAsia="仿宋_GB2312" w:cs="Times New Roman"/>
          <w:color w:val="000000"/>
          <w:kern w:val="0"/>
          <w:sz w:val="32"/>
          <w:szCs w:val="32"/>
        </w:rPr>
      </w:pPr>
      <w:r>
        <w:rPr>
          <w:rFonts w:hint="eastAsia" w:ascii="仿宋_GB2312" w:hAnsi="仿宋" w:eastAsia="仿宋_GB2312" w:cs="Times New Roman"/>
          <w:b/>
          <w:bCs/>
          <w:color w:val="000000"/>
          <w:kern w:val="0"/>
          <w:sz w:val="32"/>
          <w:szCs w:val="32"/>
        </w:rPr>
        <w:t>7</w:t>
      </w:r>
      <w:r>
        <w:rPr>
          <w:rFonts w:hint="eastAsia" w:ascii="仿宋_GB2312" w:hAnsi="仿宋" w:eastAsia="仿宋_GB2312" w:cs="Times New Roman"/>
          <w:b/>
          <w:bCs/>
          <w:color w:val="000000"/>
          <w:kern w:val="0"/>
          <w:sz w:val="32"/>
          <w:szCs w:val="32"/>
          <w:lang w:val="en-US" w:eastAsia="zh-CN"/>
        </w:rPr>
        <w:t>.</w:t>
      </w:r>
      <w:r>
        <w:rPr>
          <w:rFonts w:hint="eastAsia" w:ascii="仿宋_GB2312" w:hAnsi="仿宋" w:eastAsia="仿宋_GB2312" w:cs="Times New Roman"/>
          <w:b/>
          <w:bCs/>
          <w:color w:val="000000"/>
          <w:kern w:val="0"/>
          <w:sz w:val="32"/>
          <w:szCs w:val="32"/>
        </w:rPr>
        <w:t>生物防治。</w:t>
      </w:r>
      <w:r>
        <w:rPr>
          <w:rFonts w:hint="eastAsia" w:ascii="仿宋_GB2312" w:hAnsi="仿宋" w:eastAsia="仿宋_GB2312" w:cs="Times New Roman"/>
          <w:color w:val="000000"/>
          <w:kern w:val="0"/>
          <w:sz w:val="32"/>
          <w:szCs w:val="32"/>
        </w:rPr>
        <w:t>在水稻活棵后至抽穗前，通过人工放鸭、稻田养鱼、虾（蟹）稻共作等方式，发挥生物取食杂草子实</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0" w:firstLineChars="0"/>
        <w:jc w:val="left"/>
        <w:textAlignment w:val="auto"/>
        <w:outlineLvl w:val="0"/>
        <w:rPr>
          <w:rFonts w:ascii="仿宋_GB2312" w:hAnsi="仿宋" w:eastAsia="仿宋_GB2312" w:cs="Times New Roman"/>
          <w:color w:val="000000"/>
          <w:kern w:val="0"/>
          <w:sz w:val="32"/>
          <w:szCs w:val="32"/>
        </w:rPr>
      </w:pPr>
      <w:r>
        <w:rPr>
          <w:rFonts w:hint="eastAsia" w:ascii="仿宋_GB2312" w:hAnsi="仿宋" w:eastAsia="仿宋_GB2312" w:cs="Times New Roman"/>
          <w:color w:val="000000"/>
          <w:kern w:val="0"/>
          <w:sz w:val="32"/>
          <w:szCs w:val="32"/>
        </w:rPr>
        <w:t>和幼芽的作用，减少杂草的发生基数。</w:t>
      </w:r>
    </w:p>
    <w:p>
      <w:pPr>
        <w:keepNext w:val="0"/>
        <w:keepLines w:val="0"/>
        <w:pageBreakBefore w:val="0"/>
        <w:widowControl w:val="0"/>
        <w:kinsoku/>
        <w:wordWrap/>
        <w:overflowPunct/>
        <w:topLinePunct w:val="0"/>
        <w:autoSpaceDE/>
        <w:autoSpaceDN/>
        <w:bidi w:val="0"/>
        <w:spacing w:line="560" w:lineRule="exact"/>
        <w:ind w:left="0" w:firstLine="643" w:firstLineChars="200"/>
        <w:jc w:val="left"/>
        <w:textAlignment w:val="auto"/>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（二）化学防控</w:t>
      </w:r>
      <w:r>
        <w:rPr>
          <w:rFonts w:hint="eastAsia" w:ascii="楷体_GB2312" w:hAnsi="楷体_GB2312" w:eastAsia="楷体_GB2312" w:cs="楷体_GB2312"/>
          <w:b/>
          <w:bCs/>
          <w:color w:val="000000"/>
          <w:sz w:val="32"/>
          <w:szCs w:val="32"/>
          <w:lang w:val="en-US" w:eastAsia="zh-CN"/>
        </w:rPr>
        <w:t>技术措施</w:t>
      </w:r>
    </w:p>
    <w:p>
      <w:pPr>
        <w:keepNext w:val="0"/>
        <w:keepLines w:val="0"/>
        <w:pageBreakBefore w:val="0"/>
        <w:widowControl w:val="0"/>
        <w:kinsoku/>
        <w:wordWrap/>
        <w:overflowPunct/>
        <w:topLinePunct w:val="0"/>
        <w:autoSpaceDE/>
        <w:autoSpaceDN/>
        <w:bidi w:val="0"/>
        <w:snapToGrid w:val="0"/>
        <w:spacing w:line="560" w:lineRule="exact"/>
        <w:ind w:left="0" w:firstLine="672"/>
        <w:textAlignment w:val="auto"/>
        <w:rPr>
          <w:rFonts w:ascii="仿宋_GB2312" w:hAnsi="仿宋" w:eastAsia="仿宋_GB2312" w:cs="Times New Roman"/>
          <w:color w:val="000000"/>
          <w:spacing w:val="8"/>
          <w:sz w:val="32"/>
          <w:szCs w:val="32"/>
          <w:shd w:val="clear" w:color="auto" w:fill="FFFFFF"/>
        </w:rPr>
      </w:pPr>
      <w:r>
        <w:rPr>
          <w:rFonts w:hint="eastAsia" w:ascii="仿宋_GB2312" w:hAnsi="仿宋" w:eastAsia="仿宋_GB2312" w:cs="Times New Roman"/>
          <w:color w:val="000000"/>
          <w:spacing w:val="8"/>
          <w:sz w:val="32"/>
          <w:szCs w:val="32"/>
          <w:shd w:val="clear" w:color="auto" w:fill="FFFFFF"/>
        </w:rPr>
        <w:t>药剂防除是当前稻田杂草治理的重要手段。坚持“防早、防小”的原则，</w:t>
      </w:r>
      <w:r>
        <w:rPr>
          <w:rFonts w:ascii="仿宋_GB2312" w:hAnsi="仿宋" w:eastAsia="仿宋_GB2312" w:cs="Times New Roman"/>
          <w:color w:val="000000"/>
          <w:spacing w:val="8"/>
          <w:sz w:val="32"/>
          <w:szCs w:val="32"/>
          <w:shd w:val="clear" w:color="auto" w:fill="FFFFFF"/>
        </w:rPr>
        <w:t>贯彻“土壤封闭为主，茎叶喷雾为辅”的防控策略</w:t>
      </w:r>
      <w:r>
        <w:rPr>
          <w:rFonts w:hint="eastAsia" w:ascii="仿宋_GB2312" w:hAnsi="仿宋" w:eastAsia="仿宋_GB2312" w:cs="Times New Roman"/>
          <w:color w:val="000000"/>
          <w:spacing w:val="8"/>
          <w:sz w:val="32"/>
          <w:szCs w:val="32"/>
          <w:shd w:val="clear" w:color="auto" w:fill="FFFFFF"/>
        </w:rPr>
        <w:t>，即在杂草发生的早期和杂草低龄阶段进行防除。可根据不同种植方式和杂草发生情况选择“三封一杀”或“二封一杀”的防控措施。</w:t>
      </w:r>
    </w:p>
    <w:p>
      <w:pPr>
        <w:keepNext w:val="0"/>
        <w:keepLines w:val="0"/>
        <w:pageBreakBefore w:val="0"/>
        <w:widowControl w:val="0"/>
        <w:kinsoku/>
        <w:wordWrap/>
        <w:overflowPunct/>
        <w:topLinePunct w:val="0"/>
        <w:autoSpaceDE/>
        <w:autoSpaceDN/>
        <w:bidi w:val="0"/>
        <w:snapToGrid w:val="0"/>
        <w:spacing w:line="560" w:lineRule="exact"/>
        <w:ind w:left="0" w:firstLine="643"/>
        <w:textAlignment w:val="auto"/>
        <w:rPr>
          <w:rFonts w:ascii="仿宋_GB2312" w:hAnsi="仿宋" w:eastAsia="仿宋_GB2312" w:cs="Times New Roman"/>
          <w:color w:val="000000"/>
          <w:spacing w:val="8"/>
          <w:sz w:val="32"/>
          <w:szCs w:val="32"/>
          <w:shd w:val="clear" w:color="auto" w:fill="FFFFFF"/>
        </w:rPr>
      </w:pPr>
      <w:r>
        <w:rPr>
          <w:rFonts w:hint="eastAsia" w:ascii="仿宋_GB2312" w:hAnsi="宋体" w:eastAsia="仿宋_GB2312" w:cs="宋体-18030"/>
          <w:b/>
          <w:snapToGrid w:val="0"/>
          <w:color w:val="000000"/>
          <w:sz w:val="32"/>
          <w:szCs w:val="32"/>
        </w:rPr>
        <w:t xml:space="preserve">1.机（穴）直播稻  </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640"/>
        <w:textAlignment w:val="auto"/>
        <w:rPr>
          <w:rFonts w:ascii="仿宋_GB2312" w:hAnsi="宋体" w:eastAsia="仿宋_GB2312" w:cs="宋体-18030"/>
          <w:snapToGrid w:val="0"/>
          <w:color w:val="000000"/>
          <w:sz w:val="32"/>
          <w:szCs w:val="32"/>
        </w:rPr>
      </w:pPr>
      <w:r>
        <w:rPr>
          <w:rFonts w:hint="eastAsia" w:ascii="仿宋_GB2312" w:hAnsi="宋体" w:eastAsia="仿宋_GB2312" w:cs="宋体-18030"/>
          <w:snapToGrid w:val="0"/>
          <w:color w:val="000000"/>
          <w:sz w:val="32"/>
          <w:szCs w:val="32"/>
        </w:rPr>
        <w:t>①一封：在整田结束后，泥浆还未沉淀的浑水状态下，</w:t>
      </w:r>
      <w:bookmarkStart w:id="0" w:name="OLE_LINK1"/>
      <w:r>
        <w:rPr>
          <w:rFonts w:hint="eastAsia" w:ascii="仿宋_GB2312" w:hAnsi="宋体" w:eastAsia="仿宋_GB2312" w:cs="宋体-18030"/>
          <w:snapToGrid w:val="0"/>
          <w:color w:val="000000"/>
          <w:sz w:val="32"/>
          <w:szCs w:val="32"/>
          <w:lang w:val="en-US" w:eastAsia="zh-CN"/>
        </w:rPr>
        <w:t>选用</w:t>
      </w:r>
      <w:r>
        <w:rPr>
          <w:rFonts w:hint="eastAsia" w:ascii="仿宋_GB2312" w:hAnsi="宋体" w:eastAsia="仿宋_GB2312" w:cs="宋体-18030"/>
          <w:snapToGrid w:val="0"/>
          <w:color w:val="000000"/>
          <w:sz w:val="32"/>
          <w:szCs w:val="32"/>
          <w:highlight w:val="none"/>
        </w:rPr>
        <w:t>26%</w:t>
      </w:r>
      <w:r>
        <w:rPr>
          <w:rFonts w:hint="eastAsia" w:ascii="仿宋_GB2312" w:hAnsi="宋体" w:eastAsia="宋体" w:cs="宋体"/>
          <w:snapToGrid w:val="0"/>
          <w:color w:val="000000"/>
          <w:sz w:val="32"/>
          <w:szCs w:val="32"/>
          <w:highlight w:val="none"/>
        </w:rPr>
        <w:t>噁</w:t>
      </w:r>
      <w:r>
        <w:rPr>
          <w:rFonts w:hint="eastAsia" w:ascii="仿宋_GB2312" w:hAnsi="宋体" w:eastAsia="仿宋_GB2312" w:cs="仿宋_GB2312"/>
          <w:snapToGrid w:val="0"/>
          <w:color w:val="000000"/>
          <w:sz w:val="32"/>
          <w:szCs w:val="32"/>
          <w:highlight w:val="none"/>
        </w:rPr>
        <w:t>草酮乳油</w:t>
      </w:r>
      <w:bookmarkEnd w:id="0"/>
      <w:r>
        <w:rPr>
          <w:rFonts w:hint="eastAsia" w:ascii="仿宋_GB2312" w:hAnsi="宋体" w:eastAsia="仿宋_GB2312" w:cs="宋体-18030"/>
          <w:snapToGrid w:val="0"/>
          <w:color w:val="000000"/>
          <w:sz w:val="32"/>
          <w:szCs w:val="32"/>
          <w:highlight w:val="none"/>
        </w:rPr>
        <w:t>或12%</w:t>
      </w:r>
      <w:r>
        <w:rPr>
          <w:rFonts w:hint="eastAsia" w:ascii="仿宋_GB2312" w:hAnsi="宋体" w:eastAsia="宋体" w:cs="宋体"/>
          <w:snapToGrid w:val="0"/>
          <w:color w:val="000000"/>
          <w:sz w:val="32"/>
          <w:szCs w:val="32"/>
          <w:highlight w:val="none"/>
        </w:rPr>
        <w:t>噁</w:t>
      </w:r>
      <w:r>
        <w:rPr>
          <w:rFonts w:hint="eastAsia" w:ascii="仿宋_GB2312" w:hAnsi="宋体" w:eastAsia="仿宋_GB2312" w:cs="仿宋_GB2312"/>
          <w:snapToGrid w:val="0"/>
          <w:color w:val="000000"/>
          <w:sz w:val="32"/>
          <w:szCs w:val="32"/>
          <w:highlight w:val="none"/>
        </w:rPr>
        <w:t>草酮乳油（</w:t>
      </w:r>
      <w:bookmarkStart w:id="1" w:name="OLE_LINK2"/>
      <w:r>
        <w:rPr>
          <w:rFonts w:hint="eastAsia" w:ascii="仿宋_GB2312" w:hAnsi="宋体" w:eastAsia="仿宋_GB2312" w:cs="仿宋_GB2312"/>
          <w:snapToGrid w:val="0"/>
          <w:color w:val="000000"/>
          <w:sz w:val="32"/>
          <w:szCs w:val="32"/>
          <w:highlight w:val="none"/>
        </w:rPr>
        <w:t>农思它</w:t>
      </w:r>
      <w:bookmarkEnd w:id="1"/>
      <w:r>
        <w:rPr>
          <w:rFonts w:hint="eastAsia" w:ascii="仿宋_GB2312" w:hAnsi="宋体" w:eastAsia="仿宋_GB2312" w:cs="仿宋_GB2312"/>
          <w:snapToGrid w:val="0"/>
          <w:color w:val="000000"/>
          <w:sz w:val="32"/>
          <w:szCs w:val="32"/>
          <w:highlight w:val="none"/>
        </w:rPr>
        <w:t>）</w:t>
      </w:r>
      <w:r>
        <w:rPr>
          <w:rFonts w:hint="eastAsia" w:ascii="仿宋_GB2312" w:hAnsi="宋体" w:eastAsia="仿宋_GB2312" w:cs="宋体-18030"/>
          <w:snapToGrid w:val="0"/>
          <w:color w:val="000000"/>
          <w:sz w:val="32"/>
          <w:szCs w:val="32"/>
          <w:highlight w:val="none"/>
        </w:rPr>
        <w:t>，</w:t>
      </w:r>
      <w:r>
        <w:rPr>
          <w:rFonts w:hint="eastAsia" w:ascii="仿宋_GB2312" w:hAnsi="宋体" w:eastAsia="仿宋_GB2312" w:cs="宋体-18030"/>
          <w:snapToGrid w:val="0"/>
          <w:color w:val="000000"/>
          <w:sz w:val="32"/>
          <w:szCs w:val="32"/>
        </w:rPr>
        <w:t>趁混水甩施，施药后保持水层3～5天，落干后播种。</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640"/>
        <w:textAlignment w:val="auto"/>
        <w:rPr>
          <w:rFonts w:ascii="仿宋_GB2312" w:hAnsi="宋体" w:eastAsia="仿宋_GB2312" w:cs="宋体-18030"/>
          <w:snapToGrid w:val="0"/>
          <w:color w:val="000000"/>
          <w:sz w:val="32"/>
          <w:szCs w:val="32"/>
        </w:rPr>
      </w:pPr>
      <w:r>
        <w:rPr>
          <w:rFonts w:hint="eastAsia" w:ascii="仿宋_GB2312" w:hAnsi="宋体" w:eastAsia="仿宋_GB2312" w:cs="宋体-18030"/>
          <w:snapToGrid w:val="0"/>
          <w:color w:val="000000"/>
          <w:sz w:val="32"/>
          <w:szCs w:val="32"/>
        </w:rPr>
        <w:t>②二封：在播种后2～3天，</w:t>
      </w:r>
      <w:r>
        <w:rPr>
          <w:rFonts w:hint="eastAsia" w:ascii="仿宋_GB2312" w:hAnsi="宋体" w:eastAsia="仿宋_GB2312" w:cs="宋体-18030"/>
          <w:snapToGrid w:val="0"/>
          <w:color w:val="000000"/>
          <w:sz w:val="32"/>
          <w:szCs w:val="32"/>
          <w:lang w:val="en-US" w:eastAsia="zh-CN"/>
        </w:rPr>
        <w:t>选用</w:t>
      </w:r>
      <w:r>
        <w:rPr>
          <w:rFonts w:hint="eastAsia" w:ascii="仿宋_GB2312" w:hAnsi="宋体" w:eastAsia="仿宋_GB2312" w:cs="宋体-18030"/>
          <w:snapToGrid w:val="0"/>
          <w:color w:val="000000"/>
          <w:sz w:val="32"/>
          <w:szCs w:val="32"/>
        </w:rPr>
        <w:t>40%苄嘧·丙草胺悬乳剂</w:t>
      </w:r>
      <w:r>
        <w:rPr>
          <w:rFonts w:hint="eastAsia" w:ascii="仿宋_GB2312" w:hAnsi="宋体" w:eastAsia="仿宋_GB2312" w:cs="宋体-18030"/>
          <w:snapToGrid w:val="0"/>
          <w:color w:val="000000"/>
          <w:sz w:val="32"/>
          <w:szCs w:val="32"/>
          <w:lang w:eastAsia="zh-CN"/>
        </w:rPr>
        <w:t>，</w:t>
      </w:r>
      <w:r>
        <w:rPr>
          <w:rFonts w:hint="eastAsia" w:ascii="仿宋_GB2312" w:hAnsi="宋体" w:eastAsia="仿宋_GB2312" w:cs="宋体-18030"/>
          <w:snapToGrid w:val="0"/>
          <w:color w:val="000000"/>
          <w:sz w:val="32"/>
          <w:szCs w:val="32"/>
        </w:rPr>
        <w:t>或35%苄嘧·丙草胺可湿性粉剂</w:t>
      </w:r>
      <w:r>
        <w:rPr>
          <w:rFonts w:hint="eastAsia" w:ascii="仿宋_GB2312" w:hAnsi="宋体" w:eastAsia="仿宋_GB2312" w:cs="宋体-18030"/>
          <w:snapToGrid w:val="0"/>
          <w:color w:val="000000"/>
          <w:sz w:val="32"/>
          <w:szCs w:val="32"/>
          <w:lang w:eastAsia="zh-CN"/>
        </w:rPr>
        <w:t>，</w:t>
      </w:r>
      <w:r>
        <w:rPr>
          <w:rFonts w:hint="eastAsia" w:ascii="仿宋_GB2312" w:hAnsi="宋体" w:eastAsia="仿宋_GB2312" w:cs="宋体-18030"/>
          <w:snapToGrid w:val="0"/>
          <w:color w:val="000000"/>
          <w:sz w:val="32"/>
          <w:szCs w:val="32"/>
        </w:rPr>
        <w:t>或31%五氟·丙草胺可分散油悬浮剂，</w:t>
      </w:r>
      <w:r>
        <w:rPr>
          <w:rFonts w:hint="eastAsia" w:ascii="仿宋_GB2312" w:hAnsi="宋体" w:eastAsia="仿宋_GB2312" w:cs="宋体-18030"/>
          <w:snapToGrid w:val="0"/>
          <w:color w:val="000000"/>
          <w:sz w:val="32"/>
          <w:szCs w:val="32"/>
          <w:lang w:val="en-US" w:eastAsia="zh-CN"/>
        </w:rPr>
        <w:t>兑水后</w:t>
      </w:r>
      <w:r>
        <w:rPr>
          <w:rFonts w:hint="eastAsia" w:ascii="仿宋_GB2312" w:hAnsi="宋体" w:eastAsia="仿宋_GB2312" w:cs="宋体-18030"/>
          <w:snapToGrid w:val="0"/>
          <w:color w:val="000000"/>
          <w:sz w:val="32"/>
          <w:szCs w:val="32"/>
        </w:rPr>
        <w:t>对秧板均匀湿润喷雾。</w:t>
      </w:r>
    </w:p>
    <w:p>
      <w:pPr>
        <w:keepNext w:val="0"/>
        <w:keepLines w:val="0"/>
        <w:pageBreakBefore w:val="0"/>
        <w:widowControl w:val="0"/>
        <w:kinsoku/>
        <w:wordWrap/>
        <w:overflowPunct/>
        <w:topLinePunct w:val="0"/>
        <w:autoSpaceDE/>
        <w:autoSpaceDN/>
        <w:bidi w:val="0"/>
        <w:spacing w:line="560" w:lineRule="exact"/>
        <w:ind w:left="0" w:firstLine="640"/>
        <w:textAlignment w:val="auto"/>
        <w:rPr>
          <w:rFonts w:ascii="仿宋_GB2312" w:hAnsi="宋体" w:eastAsia="仿宋_GB2312" w:cs="宋体-18030"/>
          <w:snapToGrid w:val="0"/>
          <w:color w:val="000000"/>
          <w:sz w:val="32"/>
          <w:szCs w:val="32"/>
        </w:rPr>
      </w:pPr>
      <w:r>
        <w:rPr>
          <w:rFonts w:hint="eastAsia" w:ascii="仿宋_GB2312" w:hAnsi="宋体" w:eastAsia="仿宋_GB2312" w:cs="宋体-18030"/>
          <w:snapToGrid w:val="0"/>
          <w:color w:val="000000"/>
          <w:sz w:val="32"/>
          <w:szCs w:val="32"/>
        </w:rPr>
        <w:fldChar w:fldCharType="begin"/>
      </w:r>
      <w:r>
        <w:rPr>
          <w:rFonts w:hint="eastAsia" w:ascii="仿宋_GB2312" w:hAnsi="宋体" w:eastAsia="仿宋_GB2312" w:cs="宋体-18030"/>
          <w:snapToGrid w:val="0"/>
          <w:color w:val="000000"/>
          <w:sz w:val="32"/>
          <w:szCs w:val="32"/>
        </w:rPr>
        <w:instrText xml:space="preserve"> = 3 \* GB3 </w:instrText>
      </w:r>
      <w:r>
        <w:rPr>
          <w:rFonts w:hint="eastAsia" w:ascii="仿宋_GB2312" w:hAnsi="宋体" w:eastAsia="仿宋_GB2312" w:cs="宋体-18030"/>
          <w:snapToGrid w:val="0"/>
          <w:color w:val="000000"/>
          <w:sz w:val="32"/>
          <w:szCs w:val="32"/>
        </w:rPr>
        <w:fldChar w:fldCharType="separate"/>
      </w:r>
      <w:r>
        <w:rPr>
          <w:rFonts w:hint="eastAsia" w:ascii="仿宋_GB2312" w:hAnsi="宋体" w:eastAsia="仿宋_GB2312" w:cs="宋体-18030"/>
          <w:snapToGrid w:val="0"/>
          <w:color w:val="000000"/>
          <w:sz w:val="32"/>
          <w:szCs w:val="32"/>
        </w:rPr>
        <w:t>③</w:t>
      </w:r>
      <w:r>
        <w:rPr>
          <w:rFonts w:hint="eastAsia" w:ascii="仿宋_GB2312" w:hAnsi="宋体" w:eastAsia="仿宋_GB2312" w:cs="宋体-18030"/>
          <w:snapToGrid w:val="0"/>
          <w:color w:val="000000"/>
          <w:sz w:val="32"/>
          <w:szCs w:val="32"/>
        </w:rPr>
        <w:fldChar w:fldCharType="end"/>
      </w:r>
      <w:r>
        <w:rPr>
          <w:rFonts w:hint="eastAsia" w:ascii="仿宋_GB2312" w:hAnsi="宋体" w:eastAsia="仿宋_GB2312" w:cs="宋体-18030"/>
          <w:snapToGrid w:val="0"/>
          <w:color w:val="000000"/>
          <w:sz w:val="32"/>
          <w:szCs w:val="32"/>
        </w:rPr>
        <w:t>一杀：在播后12～15天（水稻3叶期），</w:t>
      </w:r>
      <w:r>
        <w:rPr>
          <w:rFonts w:hint="eastAsia" w:ascii="仿宋_GB2312" w:hAnsi="宋体" w:eastAsia="仿宋_GB2312" w:cs="宋体-18030"/>
          <w:snapToGrid w:val="0"/>
          <w:color w:val="000000"/>
          <w:sz w:val="32"/>
          <w:szCs w:val="32"/>
          <w:lang w:val="en-US" w:eastAsia="zh-CN"/>
        </w:rPr>
        <w:t>选用</w:t>
      </w:r>
      <w:r>
        <w:rPr>
          <w:rFonts w:hint="eastAsia" w:ascii="仿宋_GB2312" w:hAnsi="宋体" w:eastAsia="仿宋_GB2312" w:cs="宋体-18030"/>
          <w:snapToGrid w:val="0"/>
          <w:color w:val="000000"/>
          <w:sz w:val="32"/>
          <w:szCs w:val="32"/>
        </w:rPr>
        <w:t>10%氰氟草酯乳油+25克/升五氟磺草胺可分散油悬浮剂</w:t>
      </w:r>
      <w:r>
        <w:rPr>
          <w:rFonts w:hint="eastAsia" w:ascii="仿宋_GB2312" w:hAnsi="宋体" w:eastAsia="仿宋_GB2312" w:cs="宋体-18030"/>
          <w:snapToGrid w:val="0"/>
          <w:color w:val="000000"/>
          <w:sz w:val="32"/>
          <w:szCs w:val="32"/>
          <w:lang w:val="en-US" w:eastAsia="zh-CN"/>
        </w:rPr>
        <w:t>兑水后</w:t>
      </w:r>
      <w:r>
        <w:rPr>
          <w:rFonts w:hint="eastAsia" w:ascii="仿宋_GB2312" w:hAnsi="宋体" w:eastAsia="仿宋_GB2312" w:cs="宋体-18030"/>
          <w:snapToGrid w:val="0"/>
          <w:color w:val="000000"/>
          <w:sz w:val="32"/>
          <w:szCs w:val="32"/>
        </w:rPr>
        <w:t>进行均匀喷雾，用药前田间排干水</w:t>
      </w:r>
      <w:r>
        <w:rPr>
          <w:rFonts w:hint="eastAsia" w:ascii="仿宋_GB2312" w:hAnsi="宋体" w:eastAsia="仿宋_GB2312" w:cs="宋体-18030"/>
          <w:snapToGrid w:val="0"/>
          <w:color w:val="000000"/>
          <w:sz w:val="32"/>
          <w:szCs w:val="32"/>
          <w:lang w:eastAsia="zh-CN"/>
        </w:rPr>
        <w:t>，</w:t>
      </w:r>
      <w:r>
        <w:rPr>
          <w:rFonts w:hint="eastAsia" w:ascii="仿宋_GB2312" w:hAnsi="宋体" w:eastAsia="仿宋_GB2312" w:cs="宋体-18030"/>
          <w:snapToGrid w:val="0"/>
          <w:color w:val="000000"/>
          <w:sz w:val="32"/>
          <w:szCs w:val="32"/>
        </w:rPr>
        <w:t>药后一天灌水，并保水3～5天。</w:t>
      </w:r>
    </w:p>
    <w:p>
      <w:pPr>
        <w:keepNext w:val="0"/>
        <w:keepLines w:val="0"/>
        <w:pageBreakBefore w:val="0"/>
        <w:widowControl w:val="0"/>
        <w:kinsoku/>
        <w:wordWrap/>
        <w:overflowPunct/>
        <w:topLinePunct w:val="0"/>
        <w:autoSpaceDE/>
        <w:autoSpaceDN/>
        <w:bidi w:val="0"/>
        <w:snapToGrid w:val="0"/>
        <w:spacing w:line="560" w:lineRule="exact"/>
        <w:ind w:left="0" w:firstLine="640"/>
        <w:textAlignment w:val="auto"/>
        <w:rPr>
          <w:rFonts w:ascii="仿宋_GB2312" w:hAnsi="仿宋" w:eastAsia="仿宋_GB2312" w:cs="Times New Roman"/>
          <w:color w:val="000000"/>
          <w:spacing w:val="8"/>
          <w:sz w:val="32"/>
          <w:szCs w:val="32"/>
          <w:shd w:val="clear" w:color="auto" w:fill="FFFFFF"/>
        </w:rPr>
      </w:pPr>
      <w:r>
        <w:rPr>
          <w:rFonts w:hint="eastAsia" w:ascii="仿宋_GB2312" w:hAnsi="宋体" w:eastAsia="仿宋_GB2312" w:cs="宋体-18030"/>
          <w:snapToGrid w:val="0"/>
          <w:color w:val="000000"/>
          <w:sz w:val="32"/>
          <w:szCs w:val="32"/>
        </w:rPr>
        <w:fldChar w:fldCharType="begin"/>
      </w:r>
      <w:r>
        <w:rPr>
          <w:rFonts w:hint="eastAsia" w:ascii="仿宋_GB2312" w:hAnsi="宋体" w:eastAsia="仿宋_GB2312" w:cs="宋体-18030"/>
          <w:snapToGrid w:val="0"/>
          <w:color w:val="000000"/>
          <w:sz w:val="32"/>
          <w:szCs w:val="32"/>
        </w:rPr>
        <w:instrText xml:space="preserve"> = 4 \* GB3 </w:instrText>
      </w:r>
      <w:r>
        <w:rPr>
          <w:rFonts w:hint="eastAsia" w:ascii="仿宋_GB2312" w:hAnsi="宋体" w:eastAsia="仿宋_GB2312" w:cs="宋体-18030"/>
          <w:snapToGrid w:val="0"/>
          <w:color w:val="000000"/>
          <w:sz w:val="32"/>
          <w:szCs w:val="32"/>
        </w:rPr>
        <w:fldChar w:fldCharType="separate"/>
      </w:r>
      <w:r>
        <w:rPr>
          <w:rFonts w:hint="eastAsia" w:ascii="仿宋_GB2312" w:hAnsi="宋体" w:eastAsia="仿宋_GB2312" w:cs="宋体-18030"/>
          <w:snapToGrid w:val="0"/>
          <w:color w:val="000000"/>
          <w:sz w:val="32"/>
          <w:szCs w:val="32"/>
        </w:rPr>
        <w:t>④</w:t>
      </w:r>
      <w:r>
        <w:rPr>
          <w:rFonts w:hint="eastAsia" w:ascii="仿宋_GB2312" w:hAnsi="宋体" w:eastAsia="仿宋_GB2312" w:cs="宋体-18030"/>
          <w:snapToGrid w:val="0"/>
          <w:color w:val="000000"/>
          <w:sz w:val="32"/>
          <w:szCs w:val="32"/>
        </w:rPr>
        <w:fldChar w:fldCharType="end"/>
      </w:r>
      <w:r>
        <w:rPr>
          <w:rFonts w:hint="eastAsia" w:ascii="仿宋_GB2312" w:hAnsi="宋体" w:eastAsia="仿宋_GB2312" w:cs="宋体-18030"/>
          <w:snapToGrid w:val="0"/>
          <w:color w:val="000000"/>
          <w:sz w:val="32"/>
          <w:szCs w:val="32"/>
        </w:rPr>
        <w:t>三封：一杀后5～7天，选用69%苄嘧·苯噻酰可湿性粉剂制成药肥或药土撒施，药后保水3～5天。</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643"/>
        <w:textAlignment w:val="auto"/>
        <w:outlineLvl w:val="0"/>
        <w:rPr>
          <w:rFonts w:ascii="仿宋_GB2312" w:hAnsi="仿宋" w:eastAsia="仿宋_GB2312" w:cs="Times New Roman"/>
          <w:b/>
          <w:bCs/>
          <w:color w:val="000000"/>
          <w:kern w:val="0"/>
          <w:sz w:val="32"/>
          <w:szCs w:val="32"/>
        </w:rPr>
      </w:pPr>
      <w:r>
        <w:rPr>
          <w:rFonts w:hint="eastAsia" w:ascii="仿宋_GB2312" w:hAnsi="仿宋" w:eastAsia="仿宋_GB2312" w:cs="Times New Roman"/>
          <w:b/>
          <w:bCs/>
          <w:color w:val="000000"/>
          <w:kern w:val="0"/>
          <w:sz w:val="32"/>
          <w:szCs w:val="32"/>
        </w:rPr>
        <w:t>2</w:t>
      </w:r>
      <w:r>
        <w:rPr>
          <w:rFonts w:hint="eastAsia" w:ascii="仿宋_GB2312" w:hAnsi="仿宋" w:eastAsia="仿宋_GB2312" w:cs="Times New Roman"/>
          <w:b/>
          <w:bCs/>
          <w:color w:val="000000"/>
          <w:kern w:val="0"/>
          <w:sz w:val="32"/>
          <w:szCs w:val="32"/>
          <w:lang w:val="en-US" w:eastAsia="zh-CN"/>
        </w:rPr>
        <w:t>.</w:t>
      </w:r>
      <w:r>
        <w:rPr>
          <w:rFonts w:hint="eastAsia" w:ascii="仿宋_GB2312" w:hAnsi="仿宋" w:eastAsia="仿宋_GB2312" w:cs="Times New Roman"/>
          <w:b/>
          <w:bCs/>
          <w:color w:val="000000"/>
          <w:kern w:val="0"/>
          <w:sz w:val="32"/>
          <w:szCs w:val="32"/>
        </w:rPr>
        <w:t>机插秧稻</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640"/>
        <w:textAlignment w:val="auto"/>
        <w:rPr>
          <w:rFonts w:hint="eastAsia" w:ascii="仿宋_GB2312" w:hAnsi="宋体" w:eastAsia="仿宋_GB2312" w:cs="宋体-18030"/>
          <w:snapToGrid w:val="0"/>
          <w:color w:val="000000"/>
          <w:sz w:val="32"/>
          <w:szCs w:val="32"/>
          <w:lang w:eastAsia="zh-CN"/>
        </w:rPr>
      </w:pPr>
      <w:r>
        <w:rPr>
          <w:rFonts w:hint="eastAsia" w:ascii="仿宋_GB2312" w:hAnsi="宋体" w:eastAsia="仿宋_GB2312" w:cs="宋体-18030"/>
          <w:snapToGrid w:val="0"/>
          <w:color w:val="000000"/>
          <w:sz w:val="32"/>
          <w:szCs w:val="32"/>
        </w:rPr>
        <w:t>①一封：耕地排田后采用毒土法或机插后第二天采用喷雾法用药。选用40%苄嘧·丙草胺悬乳剂</w:t>
      </w:r>
      <w:r>
        <w:rPr>
          <w:rFonts w:hint="eastAsia" w:ascii="仿宋_GB2312" w:hAnsi="宋体" w:eastAsia="仿宋_GB2312" w:cs="宋体-18030"/>
          <w:snapToGrid w:val="0"/>
          <w:color w:val="000000"/>
          <w:sz w:val="32"/>
          <w:szCs w:val="32"/>
          <w:lang w:eastAsia="zh-CN"/>
        </w:rPr>
        <w:t>，</w:t>
      </w:r>
      <w:r>
        <w:rPr>
          <w:rFonts w:hint="eastAsia" w:ascii="仿宋_GB2312" w:hAnsi="宋体" w:eastAsia="仿宋_GB2312" w:cs="宋体-18030"/>
          <w:snapToGrid w:val="0"/>
          <w:color w:val="000000"/>
          <w:sz w:val="32"/>
          <w:szCs w:val="32"/>
        </w:rPr>
        <w:t>或35%苄嘧·丙草胺可湿性粉剂，</w:t>
      </w:r>
      <w:r>
        <w:rPr>
          <w:rFonts w:hint="eastAsia" w:ascii="仿宋_GB2312" w:hAnsi="宋体" w:eastAsia="仿宋_GB2312" w:cs="宋体-18030"/>
          <w:snapToGrid w:val="0"/>
          <w:color w:val="000000"/>
          <w:sz w:val="32"/>
          <w:szCs w:val="32"/>
          <w:lang w:val="en-US" w:eastAsia="zh-CN"/>
        </w:rPr>
        <w:t>兑水后</w:t>
      </w:r>
      <w:r>
        <w:rPr>
          <w:rFonts w:hint="eastAsia" w:ascii="仿宋_GB2312" w:hAnsi="宋体" w:eastAsia="仿宋_GB2312" w:cs="宋体-18030"/>
          <w:snapToGrid w:val="0"/>
          <w:color w:val="000000"/>
          <w:sz w:val="32"/>
          <w:szCs w:val="32"/>
        </w:rPr>
        <w:t>喷雾</w:t>
      </w:r>
      <w:r>
        <w:rPr>
          <w:rFonts w:hint="eastAsia" w:ascii="仿宋_GB2312" w:hAnsi="宋体" w:eastAsia="仿宋_GB2312" w:cs="宋体-18030"/>
          <w:snapToGrid w:val="0"/>
          <w:color w:val="000000"/>
          <w:sz w:val="32"/>
          <w:szCs w:val="32"/>
          <w:lang w:eastAsia="zh-CN"/>
        </w:rPr>
        <w:t>，</w:t>
      </w:r>
      <w:r>
        <w:rPr>
          <w:rFonts w:hint="eastAsia" w:ascii="仿宋_GB2312" w:hAnsi="宋体" w:eastAsia="仿宋_GB2312" w:cs="宋体-18030"/>
          <w:snapToGrid w:val="0"/>
          <w:color w:val="000000"/>
          <w:sz w:val="32"/>
          <w:szCs w:val="32"/>
        </w:rPr>
        <w:t>药后做好保水工作</w:t>
      </w:r>
      <w:r>
        <w:rPr>
          <w:rFonts w:hint="eastAsia" w:ascii="仿宋_GB2312" w:hAnsi="宋体" w:eastAsia="仿宋_GB2312" w:cs="宋体-18030"/>
          <w:snapToGrid w:val="0"/>
          <w:color w:val="000000"/>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640"/>
        <w:textAlignment w:val="auto"/>
        <w:rPr>
          <w:rFonts w:ascii="仿宋_GB2312" w:hAnsi="宋体" w:eastAsia="仿宋_GB2312" w:cs="宋体-18030"/>
          <w:snapToGrid w:val="0"/>
          <w:color w:val="000000"/>
          <w:sz w:val="32"/>
          <w:szCs w:val="32"/>
        </w:rPr>
      </w:pPr>
      <w:r>
        <w:rPr>
          <w:rFonts w:hint="eastAsia" w:ascii="仿宋_GB2312" w:hAnsi="宋体" w:eastAsia="仿宋_GB2312" w:cs="宋体-18030"/>
          <w:snapToGrid w:val="0"/>
          <w:color w:val="000000"/>
          <w:sz w:val="32"/>
          <w:szCs w:val="32"/>
        </w:rPr>
        <w:t>②二封：在机栽后10～14天（活棵返青以后），选用69%苄嘧·苯噻酰可湿性粉剂制成药肥或药土撒施，药后保水3～5天。</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640"/>
        <w:textAlignment w:val="auto"/>
        <w:rPr>
          <w:rFonts w:ascii="仿宋_GB2312" w:hAnsi="仿宋" w:eastAsia="仿宋_GB2312" w:cs="宋体-18030"/>
          <w:snapToGrid w:val="0"/>
          <w:color w:val="000000"/>
          <w:sz w:val="32"/>
          <w:szCs w:val="32"/>
        </w:rPr>
      </w:pPr>
      <w:r>
        <w:rPr>
          <w:rFonts w:hint="eastAsia" w:ascii="宋体" w:hAnsi="宋体" w:eastAsia="宋体" w:cs="宋体-18030"/>
          <w:snapToGrid w:val="0"/>
          <w:color w:val="000000"/>
          <w:sz w:val="32"/>
          <w:szCs w:val="32"/>
        </w:rPr>
        <w:t>③</w:t>
      </w:r>
      <w:r>
        <w:rPr>
          <w:rFonts w:hint="eastAsia" w:ascii="仿宋_GB2312" w:hAnsi="仿宋" w:eastAsia="仿宋_GB2312" w:cs="宋体-18030"/>
          <w:snapToGrid w:val="0"/>
          <w:color w:val="000000"/>
          <w:sz w:val="32"/>
          <w:szCs w:val="32"/>
        </w:rPr>
        <w:t>一杀：</w:t>
      </w:r>
      <w:r>
        <w:rPr>
          <w:rFonts w:hint="eastAsia" w:ascii="仿宋_GB2312" w:hAnsi="仿宋" w:eastAsia="仿宋_GB2312" w:cs="Times New Roman"/>
          <w:color w:val="000000"/>
          <w:kern w:val="0"/>
          <w:sz w:val="32"/>
          <w:szCs w:val="32"/>
        </w:rPr>
        <w:t>以稗草、千金子为主的田块可选用</w:t>
      </w:r>
      <w:r>
        <w:rPr>
          <w:rFonts w:hint="eastAsia" w:ascii="仿宋_GB2312" w:hAnsi="仿宋" w:eastAsia="仿宋_GB2312" w:cs="Times New Roman"/>
          <w:color w:val="000000"/>
          <w:spacing w:val="8"/>
          <w:sz w:val="32"/>
          <w:szCs w:val="32"/>
          <w:shd w:val="clear" w:color="auto" w:fill="FFFFFF"/>
        </w:rPr>
        <w:t>100克/升的氰氟草酯乳油、10%</w:t>
      </w:r>
      <w:r>
        <w:rPr>
          <w:rFonts w:hint="eastAsia" w:ascii="仿宋_GB2312" w:hAnsi="仿宋" w:eastAsia="仿宋" w:cs="Times New Roman"/>
          <w:color w:val="000000"/>
          <w:spacing w:val="8"/>
          <w:sz w:val="32"/>
          <w:szCs w:val="32"/>
          <w:shd w:val="clear" w:color="auto" w:fill="FFFFFF"/>
        </w:rPr>
        <w:t>噁</w:t>
      </w:r>
      <w:r>
        <w:rPr>
          <w:rFonts w:hint="eastAsia" w:ascii="仿宋_GB2312" w:hAnsi="仿宋" w:eastAsia="仿宋_GB2312" w:cs="Times New Roman"/>
          <w:color w:val="000000"/>
          <w:spacing w:val="8"/>
          <w:sz w:val="32"/>
          <w:szCs w:val="32"/>
          <w:shd w:val="clear" w:color="auto" w:fill="FFFFFF"/>
        </w:rPr>
        <w:t>唑·氰氟草乳油、</w:t>
      </w:r>
      <w:r>
        <w:rPr>
          <w:rFonts w:hint="eastAsia" w:ascii="仿宋_GB2312" w:hAnsi="宋体" w:eastAsia="仿宋_GB2312" w:cs="宋体-18030"/>
          <w:snapToGrid w:val="0"/>
          <w:color w:val="000000"/>
          <w:sz w:val="32"/>
          <w:szCs w:val="32"/>
        </w:rPr>
        <w:t>25克/升五氟磺草胺可分散油悬浮剂</w:t>
      </w:r>
      <w:r>
        <w:rPr>
          <w:rFonts w:hint="eastAsia" w:ascii="仿宋_GB2312" w:hAnsi="仿宋" w:eastAsia="仿宋_GB2312" w:cs="Times New Roman"/>
          <w:color w:val="000000"/>
          <w:spacing w:val="8"/>
          <w:sz w:val="32"/>
          <w:szCs w:val="32"/>
          <w:shd w:val="clear" w:color="auto" w:fill="FFFFFF"/>
        </w:rPr>
        <w:t>；莎草、阔叶草发生普遍的田块，可选用460克/升2甲·灭草松可溶性液剂，或25% 2甲·灭草松水剂。</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643"/>
        <w:textAlignment w:val="auto"/>
        <w:rPr>
          <w:rFonts w:ascii="仿宋_GB2312" w:hAnsi="仿宋" w:eastAsia="仿宋_GB2312" w:cs="宋体-18030"/>
          <w:snapToGrid w:val="0"/>
          <w:color w:val="000000"/>
          <w:sz w:val="32"/>
          <w:szCs w:val="32"/>
        </w:rPr>
      </w:pPr>
      <w:r>
        <w:rPr>
          <w:rFonts w:hint="eastAsia" w:ascii="仿宋_GB2312" w:hAnsi="仿宋" w:eastAsia="仿宋_GB2312" w:cs="宋体-18030"/>
          <w:snapToGrid w:val="0"/>
          <w:color w:val="000000"/>
          <w:sz w:val="32"/>
          <w:szCs w:val="32"/>
        </w:rPr>
        <w:t>若通过前期的杂草防除，田间仍有杂草，</w:t>
      </w:r>
      <w:r>
        <w:rPr>
          <w:rFonts w:hint="eastAsia" w:ascii="仿宋_GB2312" w:hAnsi="仿宋" w:eastAsia="仿宋_GB2312" w:cs="宋体-18030"/>
          <w:snapToGrid w:val="0"/>
          <w:color w:val="000000"/>
          <w:sz w:val="32"/>
          <w:szCs w:val="32"/>
          <w:lang w:val="en-US" w:eastAsia="zh-CN"/>
        </w:rPr>
        <w:t>应</w:t>
      </w:r>
      <w:r>
        <w:rPr>
          <w:rFonts w:hint="eastAsia" w:ascii="仿宋_GB2312" w:hAnsi="仿宋" w:eastAsia="仿宋_GB2312" w:cs="宋体-18030"/>
          <w:snapToGrid w:val="0"/>
          <w:color w:val="000000"/>
          <w:sz w:val="32"/>
          <w:szCs w:val="32"/>
        </w:rPr>
        <w:t>掌握“抓早、抓小”原则</w:t>
      </w:r>
      <w:r>
        <w:rPr>
          <w:rFonts w:hint="eastAsia" w:ascii="仿宋_GB2312" w:hAnsi="仿宋" w:eastAsia="仿宋_GB2312" w:cs="宋体-18030"/>
          <w:snapToGrid w:val="0"/>
          <w:color w:val="000000"/>
          <w:sz w:val="32"/>
          <w:szCs w:val="32"/>
          <w:lang w:eastAsia="zh-CN"/>
        </w:rPr>
        <w:t>，</w:t>
      </w:r>
      <w:r>
        <w:rPr>
          <w:rFonts w:hint="eastAsia" w:ascii="仿宋_GB2312" w:hAnsi="仿宋" w:eastAsia="仿宋_GB2312" w:cs="宋体-18030"/>
          <w:snapToGrid w:val="0"/>
          <w:color w:val="000000"/>
          <w:sz w:val="32"/>
          <w:szCs w:val="32"/>
        </w:rPr>
        <w:t>根据不同草相和叶龄选择对应的茎叶处理剂进行补除。</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643"/>
        <w:textAlignment w:val="auto"/>
        <w:outlineLvl w:val="0"/>
        <w:rPr>
          <w:rFonts w:hint="eastAsia" w:ascii="黑体" w:hAnsi="黑体" w:eastAsia="黑体" w:cs="黑体"/>
          <w:b w:val="0"/>
          <w:bCs w:val="0"/>
          <w:color w:val="000000"/>
          <w:sz w:val="32"/>
          <w:szCs w:val="32"/>
        </w:rPr>
      </w:pPr>
      <w:r>
        <w:rPr>
          <w:rFonts w:hint="eastAsia" w:ascii="黑体" w:hAnsi="黑体" w:eastAsia="黑体" w:cs="黑体"/>
          <w:b w:val="0"/>
          <w:bCs w:val="0"/>
          <w:color w:val="000000"/>
          <w:sz w:val="32"/>
          <w:szCs w:val="32"/>
          <w:lang w:val="en-US" w:eastAsia="zh-CN"/>
        </w:rPr>
        <w:t>四</w:t>
      </w:r>
      <w:r>
        <w:rPr>
          <w:rFonts w:hint="eastAsia" w:ascii="黑体" w:hAnsi="黑体" w:eastAsia="黑体" w:cs="黑体"/>
          <w:b w:val="0"/>
          <w:bCs w:val="0"/>
          <w:color w:val="000000"/>
          <w:sz w:val="32"/>
          <w:szCs w:val="32"/>
        </w:rPr>
        <w:t>、注意事项</w:t>
      </w:r>
    </w:p>
    <w:p>
      <w:pPr>
        <w:keepNext w:val="0"/>
        <w:keepLines w:val="0"/>
        <w:pageBreakBefore w:val="0"/>
        <w:widowControl w:val="0"/>
        <w:kinsoku/>
        <w:wordWrap/>
        <w:overflowPunct/>
        <w:topLinePunct w:val="0"/>
        <w:autoSpaceDE/>
        <w:autoSpaceDN/>
        <w:bidi w:val="0"/>
        <w:spacing w:line="560" w:lineRule="exact"/>
        <w:ind w:left="0" w:firstLine="643"/>
        <w:textAlignment w:val="auto"/>
        <w:rPr>
          <w:rFonts w:hint="eastAsia" w:ascii="仿宋_GB2312" w:hAnsi="仿宋_GB2312" w:eastAsia="仿宋_GB2312" w:cs="仿宋_GB2312"/>
          <w:b/>
          <w:snapToGrid w:val="0"/>
          <w:color w:val="000000"/>
          <w:sz w:val="32"/>
          <w:szCs w:val="32"/>
        </w:rPr>
      </w:pPr>
      <w:r>
        <w:rPr>
          <w:rFonts w:hint="eastAsia" w:ascii="仿宋_GB2312" w:hAnsi="仿宋_GB2312" w:eastAsia="仿宋_GB2312" w:cs="仿宋_GB2312"/>
          <w:b/>
          <w:color w:val="000000"/>
          <w:kern w:val="0"/>
          <w:sz w:val="32"/>
          <w:szCs w:val="32"/>
        </w:rPr>
        <w:t>1</w:t>
      </w:r>
      <w:r>
        <w:rPr>
          <w:rFonts w:hint="eastAsia" w:ascii="仿宋_GB2312" w:hAnsi="仿宋_GB2312" w:eastAsia="仿宋_GB2312" w:cs="仿宋_GB2312"/>
          <w:b/>
          <w:color w:val="000000"/>
          <w:kern w:val="0"/>
          <w:sz w:val="32"/>
          <w:szCs w:val="32"/>
          <w:lang w:val="en-US" w:eastAsia="zh-CN"/>
        </w:rPr>
        <w:t>.</w:t>
      </w:r>
      <w:r>
        <w:rPr>
          <w:rFonts w:hint="eastAsia" w:ascii="仿宋_GB2312" w:hAnsi="仿宋_GB2312" w:eastAsia="仿宋_GB2312" w:cs="仿宋_GB2312"/>
          <w:b/>
          <w:snapToGrid w:val="0"/>
          <w:color w:val="000000"/>
          <w:sz w:val="32"/>
          <w:szCs w:val="32"/>
        </w:rPr>
        <w:t>参加水稻绿色认证的单位需严格参照国家绿色食品</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0" w:firstLineChars="0"/>
        <w:textAlignment w:val="auto"/>
        <w:rPr>
          <w:rFonts w:hint="eastAsia" w:ascii="仿宋_GB2312" w:hAnsi="仿宋_GB2312" w:eastAsia="仿宋_GB2312" w:cs="仿宋_GB2312"/>
          <w:b/>
          <w:snapToGrid w:val="0"/>
          <w:color w:val="000000"/>
          <w:sz w:val="32"/>
          <w:szCs w:val="32"/>
        </w:rPr>
      </w:pPr>
      <w:r>
        <w:rPr>
          <w:rFonts w:hint="eastAsia" w:ascii="仿宋_GB2312" w:hAnsi="仿宋_GB2312" w:eastAsia="仿宋_GB2312" w:cs="仿宋_GB2312"/>
          <w:b/>
          <w:snapToGrid w:val="0"/>
          <w:color w:val="000000"/>
          <w:sz w:val="32"/>
          <w:szCs w:val="32"/>
        </w:rPr>
        <w:t>农药使用准则进行科学用药。</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640"/>
        <w:textAlignment w:val="auto"/>
        <w:rPr>
          <w:rFonts w:hint="eastAsia" w:ascii="仿宋_GB2312" w:hAnsi="仿宋_GB2312" w:eastAsia="仿宋_GB2312" w:cs="仿宋_GB2312"/>
          <w:snapToGrid w:val="0"/>
          <w:color w:val="000000"/>
          <w:sz w:val="32"/>
          <w:szCs w:val="32"/>
        </w:rPr>
      </w:pPr>
      <w:r>
        <w:rPr>
          <w:rFonts w:hint="eastAsia" w:ascii="仿宋_GB2312" w:hAnsi="仿宋_GB2312" w:eastAsia="仿宋_GB2312" w:cs="仿宋_GB2312"/>
          <w:color w:val="000000"/>
          <w:kern w:val="0"/>
          <w:sz w:val="32"/>
          <w:szCs w:val="32"/>
        </w:rPr>
        <w:t>2</w:t>
      </w:r>
      <w:r>
        <w:rPr>
          <w:rFonts w:hint="eastAsia" w:ascii="仿宋_GB2312" w:hAnsi="仿宋_GB2312" w:eastAsia="仿宋_GB2312" w:cs="仿宋_GB2312"/>
          <w:color w:val="000000"/>
          <w:kern w:val="0"/>
          <w:sz w:val="32"/>
          <w:szCs w:val="32"/>
          <w:lang w:val="en-US" w:eastAsia="zh-CN"/>
        </w:rPr>
        <w:t>.</w:t>
      </w:r>
      <w:r>
        <w:rPr>
          <w:rFonts w:hint="eastAsia" w:ascii="仿宋_GB2312" w:hAnsi="仿宋_GB2312" w:eastAsia="仿宋_GB2312" w:cs="仿宋_GB2312"/>
          <w:snapToGrid w:val="0"/>
          <w:color w:val="000000"/>
          <w:sz w:val="32"/>
          <w:szCs w:val="32"/>
        </w:rPr>
        <w:t>直播稻田播后苗前使用除草剂时稻谷必须浸种催芽至露白，施药时，田块要保持湿润，但不积水，田沟内要有浅水；施药后3天内田板保持湿润状态，以后恢复正常田间管理；施药后若遇高温，造成畦面较干，应灌“跑马水”。苗后封闭处理时要注意水不可淹没心叶，并做好平水缺。</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640"/>
        <w:textAlignment w:val="auto"/>
        <w:outlineLvl w:val="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3</w:t>
      </w:r>
      <w:r>
        <w:rPr>
          <w:rFonts w:hint="eastAsia" w:ascii="仿宋_GB2312" w:hAnsi="仿宋_GB2312" w:eastAsia="仿宋_GB2312" w:cs="仿宋_GB2312"/>
          <w:color w:val="000000"/>
          <w:kern w:val="0"/>
          <w:sz w:val="32"/>
          <w:szCs w:val="32"/>
          <w:lang w:val="en-US" w:eastAsia="zh-CN"/>
        </w:rPr>
        <w:t>.</w:t>
      </w:r>
      <w:r>
        <w:rPr>
          <w:rFonts w:hint="eastAsia" w:ascii="仿宋_GB2312" w:hAnsi="仿宋_GB2312" w:eastAsia="仿宋_GB2312" w:cs="仿宋_GB2312"/>
          <w:color w:val="000000"/>
          <w:kern w:val="0"/>
          <w:sz w:val="32"/>
          <w:szCs w:val="32"/>
        </w:rPr>
        <w:t>除草剂使用避开中午高温阶段，尽量选择清晨或傍晚施药。施药后当天或第二天遇大暴雨，应减量补施，补施药量应根据所选用药剂的使用说明确定，一般掌握在原使用量的50%以内。要及时清理沟系，及时排干，防止积水淹没水稻心叶而产生药害。</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640"/>
        <w:textAlignment w:val="auto"/>
        <w:outlineLvl w:val="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4</w:t>
      </w:r>
      <w:r>
        <w:rPr>
          <w:rFonts w:hint="eastAsia" w:ascii="仿宋_GB2312" w:hAnsi="仿宋_GB2312" w:eastAsia="仿宋_GB2312" w:cs="仿宋_GB2312"/>
          <w:color w:val="000000"/>
          <w:kern w:val="0"/>
          <w:sz w:val="32"/>
          <w:szCs w:val="32"/>
          <w:lang w:val="en-US" w:eastAsia="zh-CN"/>
        </w:rPr>
        <w:t>.</w:t>
      </w:r>
      <w:r>
        <w:rPr>
          <w:rFonts w:hint="eastAsia" w:ascii="仿宋_GB2312" w:hAnsi="仿宋_GB2312" w:eastAsia="仿宋_GB2312" w:cs="仿宋_GB2312"/>
          <w:color w:val="000000"/>
          <w:kern w:val="0"/>
          <w:sz w:val="32"/>
          <w:szCs w:val="32"/>
        </w:rPr>
        <w:t>选择茎叶处理时，应根据田间杂草叶龄适时用药，用药前需先排水施药，药后1～2天再复水，然后保水3～5天；杂草密度过大时，注意用药均匀、喷透。</w:t>
      </w:r>
    </w:p>
    <w:p>
      <w:pPr>
        <w:keepNext w:val="0"/>
        <w:keepLines w:val="0"/>
        <w:pageBreakBefore w:val="0"/>
        <w:widowControl w:val="0"/>
        <w:kinsoku/>
        <w:wordWrap/>
        <w:overflowPunct/>
        <w:topLinePunct w:val="0"/>
        <w:autoSpaceDE/>
        <w:autoSpaceDN/>
        <w:bidi w:val="0"/>
        <w:adjustRightInd w:val="0"/>
        <w:snapToGrid w:val="0"/>
        <w:spacing w:line="560" w:lineRule="exact"/>
        <w:ind w:left="0" w:firstLine="640"/>
        <w:textAlignment w:val="auto"/>
        <w:outlineLvl w:val="0"/>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5</w:t>
      </w:r>
      <w:r>
        <w:rPr>
          <w:rFonts w:hint="eastAsia" w:ascii="仿宋_GB2312" w:hAnsi="仿宋_GB2312" w:eastAsia="仿宋_GB2312" w:cs="仿宋_GB2312"/>
          <w:color w:val="000000"/>
          <w:kern w:val="0"/>
          <w:sz w:val="32"/>
          <w:szCs w:val="32"/>
          <w:lang w:val="en-US" w:eastAsia="zh-CN"/>
        </w:rPr>
        <w:t>.</w:t>
      </w:r>
      <w:r>
        <w:rPr>
          <w:rFonts w:hint="eastAsia" w:ascii="仿宋_GB2312" w:hAnsi="仿宋_GB2312" w:eastAsia="仿宋_GB2312" w:cs="仿宋_GB2312"/>
          <w:color w:val="000000"/>
          <w:spacing w:val="8"/>
          <w:sz w:val="32"/>
          <w:szCs w:val="32"/>
          <w:shd w:val="clear" w:color="auto" w:fill="FFFFFF"/>
        </w:rPr>
        <w:t>科学合理选用施药器械，亩药液量确保30～40公斤。使用无人机时须考虑天气条件以及周边环境，田块周边有河塘，水产养殖区的区域禁止飞防。同时</w:t>
      </w:r>
      <w:r>
        <w:rPr>
          <w:rFonts w:hint="eastAsia" w:ascii="仿宋_GB2312" w:hAnsi="仿宋_GB2312" w:eastAsia="仿宋_GB2312" w:cs="仿宋_GB2312"/>
          <w:snapToGrid w:val="0"/>
          <w:color w:val="000000"/>
          <w:sz w:val="32"/>
          <w:szCs w:val="32"/>
        </w:rPr>
        <w:t>要注意周边种植的作物，以免飘移产生药害。</w:t>
      </w:r>
    </w:p>
    <w:p>
      <w:pPr>
        <w:keepNext w:val="0"/>
        <w:keepLines w:val="0"/>
        <w:pageBreakBefore w:val="0"/>
        <w:widowControl w:val="0"/>
        <w:kinsoku/>
        <w:wordWrap/>
        <w:overflowPunct/>
        <w:topLinePunct w:val="0"/>
        <w:autoSpaceDE/>
        <w:autoSpaceDN/>
        <w:bidi w:val="0"/>
        <w:spacing w:line="560" w:lineRule="exact"/>
        <w:ind w:left="0" w:firstLine="640" w:firstLineChars="200"/>
        <w:jc w:val="left"/>
        <w:textAlignment w:val="auto"/>
        <w:rPr>
          <w:rFonts w:hint="eastAsia" w:ascii="仿宋_GB2312" w:hAnsi="仿宋_GB2312" w:eastAsia="仿宋_GB2312" w:cs="仿宋_GB2312"/>
          <w:snapToGrid w:val="0"/>
          <w:color w:val="000000"/>
          <w:sz w:val="32"/>
          <w:szCs w:val="32"/>
        </w:rPr>
      </w:pPr>
      <w:r>
        <w:rPr>
          <w:rFonts w:hint="eastAsia" w:ascii="仿宋_GB2312" w:hAnsi="仿宋_GB2312" w:eastAsia="仿宋_GB2312" w:cs="仿宋_GB2312"/>
          <w:snapToGrid w:val="0"/>
          <w:color w:val="000000"/>
          <w:sz w:val="32"/>
          <w:szCs w:val="32"/>
        </w:rPr>
        <w:t>6</w:t>
      </w:r>
      <w:r>
        <w:rPr>
          <w:rFonts w:hint="eastAsia" w:ascii="仿宋_GB2312" w:hAnsi="仿宋_GB2312" w:eastAsia="仿宋_GB2312" w:cs="仿宋_GB2312"/>
          <w:snapToGrid w:val="0"/>
          <w:color w:val="000000"/>
          <w:sz w:val="32"/>
          <w:szCs w:val="32"/>
          <w:lang w:val="en-US" w:eastAsia="zh-CN"/>
        </w:rPr>
        <w:t>.</w:t>
      </w:r>
      <w:r>
        <w:rPr>
          <w:rFonts w:hint="eastAsia" w:ascii="仿宋_GB2312" w:hAnsi="仿宋_GB2312" w:eastAsia="仿宋_GB2312" w:cs="仿宋_GB2312"/>
          <w:snapToGrid w:val="0"/>
          <w:color w:val="000000"/>
          <w:sz w:val="32"/>
          <w:szCs w:val="32"/>
        </w:rPr>
        <w:t>水稻拔节后不建议使用除草剂，以免产生药害。</w:t>
      </w:r>
    </w:p>
    <w:p>
      <w:pPr>
        <w:keepNext w:val="0"/>
        <w:keepLines w:val="0"/>
        <w:pageBreakBefore w:val="0"/>
        <w:widowControl w:val="0"/>
        <w:kinsoku/>
        <w:wordWrap/>
        <w:overflowPunct/>
        <w:topLinePunct w:val="0"/>
        <w:autoSpaceDE/>
        <w:autoSpaceDN/>
        <w:bidi w:val="0"/>
        <w:spacing w:line="560" w:lineRule="exact"/>
        <w:ind w:left="0" w:firstLine="640" w:firstLineChars="200"/>
        <w:jc w:val="left"/>
        <w:textAlignment w:val="auto"/>
        <w:rPr>
          <w:rFonts w:hint="eastAsia" w:ascii="仿宋_GB2312" w:hAnsi="仿宋_GB2312" w:eastAsia="仿宋_GB2312" w:cs="仿宋_GB2312"/>
          <w:snapToGrid w:val="0"/>
          <w:color w:val="000000"/>
          <w:sz w:val="32"/>
          <w:szCs w:val="32"/>
        </w:rPr>
      </w:pPr>
    </w:p>
    <w:p>
      <w:pPr>
        <w:keepNext w:val="0"/>
        <w:keepLines w:val="0"/>
        <w:pageBreakBefore w:val="0"/>
        <w:widowControl w:val="0"/>
        <w:kinsoku/>
        <w:wordWrap/>
        <w:overflowPunct/>
        <w:topLinePunct w:val="0"/>
        <w:autoSpaceDE/>
        <w:autoSpaceDN/>
        <w:bidi w:val="0"/>
        <w:spacing w:line="560" w:lineRule="exact"/>
        <w:ind w:left="0" w:firstLine="640" w:firstLineChars="200"/>
        <w:jc w:val="left"/>
        <w:textAlignment w:val="auto"/>
        <w:rPr>
          <w:rFonts w:hint="eastAsia" w:ascii="仿宋_GB2312" w:hAnsi="仿宋_GB2312" w:eastAsia="仿宋_GB2312" w:cs="仿宋_GB2312"/>
          <w:snapToGrid w:val="0"/>
          <w:color w:val="000000"/>
          <w:sz w:val="32"/>
          <w:szCs w:val="32"/>
        </w:rPr>
      </w:pPr>
    </w:p>
    <w:p>
      <w:pPr>
        <w:keepNext w:val="0"/>
        <w:keepLines w:val="0"/>
        <w:pageBreakBefore w:val="0"/>
        <w:widowControl w:val="0"/>
        <w:kinsoku/>
        <w:wordWrap/>
        <w:overflowPunct/>
        <w:topLinePunct w:val="0"/>
        <w:autoSpaceDE/>
        <w:autoSpaceDN/>
        <w:bidi w:val="0"/>
        <w:spacing w:line="560" w:lineRule="exact"/>
        <w:ind w:left="0" w:firstLine="640" w:firstLineChars="200"/>
        <w:jc w:val="left"/>
        <w:textAlignment w:val="auto"/>
        <w:rPr>
          <w:rFonts w:hint="eastAsia" w:ascii="仿宋_GB2312" w:hAnsi="仿宋_GB2312" w:eastAsia="仿宋_GB2312" w:cs="仿宋_GB2312"/>
          <w:snapToGrid w:val="0"/>
          <w:color w:val="000000"/>
          <w:sz w:val="32"/>
          <w:szCs w:val="32"/>
        </w:rPr>
      </w:pPr>
    </w:p>
    <w:p>
      <w:pPr>
        <w:keepNext w:val="0"/>
        <w:keepLines w:val="0"/>
        <w:pageBreakBefore w:val="0"/>
        <w:widowControl w:val="0"/>
        <w:kinsoku/>
        <w:wordWrap/>
        <w:overflowPunct/>
        <w:topLinePunct w:val="0"/>
        <w:autoSpaceDE/>
        <w:autoSpaceDN/>
        <w:bidi w:val="0"/>
        <w:spacing w:line="560" w:lineRule="exact"/>
        <w:ind w:left="0" w:firstLine="640" w:firstLineChars="200"/>
        <w:jc w:val="left"/>
        <w:textAlignment w:val="auto"/>
        <w:rPr>
          <w:rFonts w:hint="eastAsia" w:ascii="仿宋_GB2312" w:hAnsi="仿宋_GB2312" w:eastAsia="仿宋_GB2312" w:cs="仿宋_GB2312"/>
          <w:snapToGrid w:val="0"/>
          <w:color w:val="000000"/>
          <w:sz w:val="32"/>
          <w:szCs w:val="32"/>
        </w:rPr>
      </w:pPr>
    </w:p>
    <w:p>
      <w:pPr>
        <w:keepNext w:val="0"/>
        <w:keepLines w:val="0"/>
        <w:pageBreakBefore w:val="0"/>
        <w:widowControl w:val="0"/>
        <w:kinsoku/>
        <w:wordWrap/>
        <w:overflowPunct/>
        <w:topLinePunct w:val="0"/>
        <w:autoSpaceDE/>
        <w:autoSpaceDN/>
        <w:bidi w:val="0"/>
        <w:spacing w:line="560" w:lineRule="exact"/>
        <w:ind w:left="0" w:firstLine="640" w:firstLineChars="200"/>
        <w:jc w:val="left"/>
        <w:textAlignment w:val="auto"/>
        <w:rPr>
          <w:rFonts w:hint="eastAsia" w:ascii="仿宋_GB2312" w:hAnsi="仿宋_GB2312" w:eastAsia="仿宋_GB2312" w:cs="仿宋_GB2312"/>
          <w:snapToGrid w:val="0"/>
          <w:color w:val="000000"/>
          <w:sz w:val="32"/>
          <w:szCs w:val="32"/>
        </w:rPr>
      </w:pPr>
    </w:p>
    <w:p>
      <w:pPr>
        <w:keepNext w:val="0"/>
        <w:keepLines w:val="0"/>
        <w:pageBreakBefore w:val="0"/>
        <w:widowControl w:val="0"/>
        <w:kinsoku/>
        <w:wordWrap/>
        <w:overflowPunct/>
        <w:topLinePunct w:val="0"/>
        <w:autoSpaceDE/>
        <w:autoSpaceDN/>
        <w:bidi w:val="0"/>
        <w:spacing w:line="560" w:lineRule="exact"/>
        <w:ind w:left="0" w:firstLine="640" w:firstLineChars="200"/>
        <w:jc w:val="left"/>
        <w:textAlignment w:val="auto"/>
        <w:rPr>
          <w:rFonts w:hint="eastAsia" w:ascii="仿宋_GB2312" w:hAnsi="仿宋_GB2312" w:eastAsia="仿宋_GB2312" w:cs="仿宋_GB2312"/>
          <w:snapToGrid w:val="0"/>
          <w:color w:val="000000"/>
          <w:sz w:val="32"/>
          <w:szCs w:val="32"/>
        </w:rPr>
      </w:pPr>
    </w:p>
    <w:p>
      <w:pPr>
        <w:keepNext w:val="0"/>
        <w:keepLines w:val="0"/>
        <w:pageBreakBefore w:val="0"/>
        <w:widowControl w:val="0"/>
        <w:kinsoku/>
        <w:wordWrap/>
        <w:overflowPunct/>
        <w:topLinePunct w:val="0"/>
        <w:autoSpaceDE/>
        <w:autoSpaceDN/>
        <w:bidi w:val="0"/>
        <w:spacing w:line="560" w:lineRule="exact"/>
        <w:ind w:left="0" w:firstLine="640" w:firstLineChars="200"/>
        <w:jc w:val="left"/>
        <w:textAlignment w:val="auto"/>
        <w:rPr>
          <w:rFonts w:hint="eastAsia" w:ascii="仿宋_GB2312" w:hAnsi="仿宋_GB2312" w:eastAsia="仿宋_GB2312" w:cs="仿宋_GB2312"/>
          <w:snapToGrid w:val="0"/>
          <w:color w:val="000000"/>
          <w:sz w:val="32"/>
          <w:szCs w:val="32"/>
        </w:rPr>
      </w:pPr>
    </w:p>
    <w:p>
      <w:pPr>
        <w:keepNext w:val="0"/>
        <w:keepLines w:val="0"/>
        <w:pageBreakBefore w:val="0"/>
        <w:widowControl w:val="0"/>
        <w:kinsoku/>
        <w:wordWrap/>
        <w:overflowPunct/>
        <w:topLinePunct w:val="0"/>
        <w:autoSpaceDE/>
        <w:autoSpaceDN/>
        <w:bidi w:val="0"/>
        <w:spacing w:line="560" w:lineRule="exact"/>
        <w:ind w:left="0" w:firstLine="640" w:firstLineChars="200"/>
        <w:jc w:val="left"/>
        <w:textAlignment w:val="auto"/>
        <w:rPr>
          <w:rFonts w:hint="eastAsia" w:ascii="仿宋_GB2312" w:hAnsi="仿宋_GB2312" w:eastAsia="仿宋_GB2312" w:cs="仿宋_GB2312"/>
          <w:snapToGrid w:val="0"/>
          <w:color w:val="000000"/>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left="0"/>
        <w:jc w:val="left"/>
        <w:textAlignment w:val="auto"/>
        <w:rPr>
          <w:rFonts w:hint="eastAsia" w:ascii="黑体" w:hAnsi="黑体" w:eastAsia="黑体" w:cs="黑体"/>
          <w:snapToGrid w:val="0"/>
          <w:color w:val="000000"/>
          <w:sz w:val="32"/>
          <w:szCs w:val="32"/>
          <w:lang w:val="en-US" w:eastAsia="zh-CN"/>
        </w:rPr>
        <w:sectPr>
          <w:pgSz w:w="11906" w:h="16838"/>
          <w:pgMar w:top="1440" w:right="1800" w:bottom="1440" w:left="1800" w:header="851" w:footer="992" w:gutter="0"/>
          <w:pgNumType w:fmt="numberInDash"/>
          <w:cols w:space="425"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40" w:lineRule="exact"/>
        <w:ind w:left="0"/>
        <w:jc w:val="left"/>
        <w:textAlignment w:val="auto"/>
        <w:rPr>
          <w:rFonts w:hint="eastAsia" w:ascii="黑体" w:hAnsi="黑体" w:eastAsia="黑体" w:cs="黑体"/>
          <w:snapToGrid w:val="0"/>
          <w:color w:val="000000"/>
          <w:sz w:val="32"/>
          <w:szCs w:val="32"/>
          <w:lang w:val="en-US" w:eastAsia="zh-CN"/>
        </w:rPr>
      </w:pPr>
      <w:r>
        <w:rPr>
          <w:rFonts w:hint="eastAsia" w:ascii="黑体" w:hAnsi="黑体" w:eastAsia="黑体" w:cs="黑体"/>
          <w:snapToGrid w:val="0"/>
          <w:color w:val="000000"/>
          <w:sz w:val="32"/>
          <w:szCs w:val="32"/>
          <w:lang w:val="en-US" w:eastAsia="zh-CN"/>
        </w:rPr>
        <w:t>附件6</w:t>
      </w:r>
    </w:p>
    <w:p>
      <w:pPr>
        <w:keepNext w:val="0"/>
        <w:keepLines w:val="0"/>
        <w:pageBreakBefore w:val="0"/>
        <w:widowControl w:val="0"/>
        <w:kinsoku/>
        <w:wordWrap/>
        <w:overflowPunct/>
        <w:topLinePunct w:val="0"/>
        <w:autoSpaceDE/>
        <w:autoSpaceDN/>
        <w:bidi w:val="0"/>
        <w:snapToGrid w:val="0"/>
        <w:spacing w:line="540" w:lineRule="exact"/>
        <w:ind w:left="0" w:firstLine="696"/>
        <w:jc w:val="center"/>
        <w:textAlignment w:val="auto"/>
        <w:rPr>
          <w:rFonts w:hint="eastAsia" w:ascii="方正小标宋简体" w:hAnsi="方正小标宋简体" w:eastAsia="方正小标宋简体" w:cs="方正小标宋简体"/>
          <w:color w:val="000000"/>
          <w:spacing w:val="-6"/>
          <w:sz w:val="44"/>
          <w:szCs w:val="44"/>
        </w:rPr>
      </w:pPr>
      <w:r>
        <w:rPr>
          <w:rFonts w:hint="eastAsia" w:ascii="方正小标宋简体" w:hAnsi="方正小标宋简体" w:eastAsia="方正小标宋简体" w:cs="方正小标宋简体"/>
          <w:color w:val="000000"/>
          <w:spacing w:val="-6"/>
          <w:sz w:val="44"/>
          <w:szCs w:val="44"/>
        </w:rPr>
        <w:t>2024年崇明区水稻主要病虫害</w:t>
      </w:r>
    </w:p>
    <w:p>
      <w:pPr>
        <w:keepNext w:val="0"/>
        <w:keepLines w:val="0"/>
        <w:pageBreakBefore w:val="0"/>
        <w:widowControl w:val="0"/>
        <w:kinsoku/>
        <w:wordWrap/>
        <w:overflowPunct/>
        <w:topLinePunct w:val="0"/>
        <w:autoSpaceDE/>
        <w:autoSpaceDN/>
        <w:bidi w:val="0"/>
        <w:snapToGrid w:val="0"/>
        <w:spacing w:line="540" w:lineRule="exact"/>
        <w:ind w:left="0" w:firstLine="696"/>
        <w:jc w:val="center"/>
        <w:textAlignment w:val="auto"/>
        <w:rPr>
          <w:rFonts w:ascii="方正小标宋简体" w:hAnsi="方正小标宋简体" w:eastAsia="方正小标宋简体" w:cs="方正小标宋简体"/>
          <w:color w:val="000000"/>
          <w:spacing w:val="-6"/>
          <w:sz w:val="44"/>
          <w:szCs w:val="44"/>
        </w:rPr>
      </w:pPr>
      <w:r>
        <w:rPr>
          <w:rFonts w:hint="eastAsia" w:ascii="方正小标宋简体" w:hAnsi="方正小标宋简体" w:eastAsia="方正小标宋简体" w:cs="方正小标宋简体"/>
          <w:color w:val="000000"/>
          <w:spacing w:val="-6"/>
          <w:sz w:val="44"/>
          <w:szCs w:val="44"/>
        </w:rPr>
        <w:t>绿色防控技术</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3"/>
        <w:textAlignment w:val="auto"/>
        <w:rPr>
          <w:rFonts w:hint="eastAsia" w:ascii="黑体" w:hAnsi="黑体" w:eastAsia="黑体" w:cs="黑体"/>
          <w:b w:val="0"/>
          <w:bCs/>
          <w:color w:val="000000"/>
          <w:sz w:val="32"/>
          <w:szCs w:val="32"/>
        </w:rPr>
      </w:pPr>
      <w:r>
        <w:rPr>
          <w:rFonts w:hint="eastAsia" w:ascii="黑体" w:hAnsi="黑体" w:eastAsia="黑体" w:cs="黑体"/>
          <w:b w:val="0"/>
          <w:bCs/>
          <w:color w:val="000000"/>
          <w:sz w:val="32"/>
          <w:szCs w:val="32"/>
        </w:rPr>
        <w:t>一、防控目标</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outlineLvl w:val="0"/>
        <w:rPr>
          <w:rFonts w:ascii="仿宋_GB2312" w:hAnsi="宋体" w:eastAsia="仿宋_GB2312" w:cs="Times New Roman"/>
          <w:color w:val="000000"/>
          <w:sz w:val="32"/>
          <w:szCs w:val="32"/>
        </w:rPr>
      </w:pPr>
      <w:r>
        <w:rPr>
          <w:rFonts w:hint="eastAsia" w:ascii="仿宋_GB2312" w:hAnsi="宋体" w:eastAsia="仿宋_GB2312" w:cs="宋体"/>
          <w:color w:val="000000"/>
          <w:kern w:val="0"/>
          <w:sz w:val="32"/>
          <w:szCs w:val="32"/>
        </w:rPr>
        <w:t>水稻重大病虫害总体防治处置率达到90%以上，总体防治效果达到85%以上，病虫害危害损失率控制在5%以内。水稻专业化防治覆盖率达到50%以上，绿色防控覆盖率达到56%以上。在病虫害突发暴发时，将保产量作为首要防控目标。</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3"/>
        <w:textAlignment w:val="auto"/>
        <w:rPr>
          <w:rFonts w:hint="eastAsia" w:ascii="黑体" w:hAnsi="黑体" w:eastAsia="黑体" w:cs="黑体"/>
          <w:b w:val="0"/>
          <w:bCs/>
          <w:color w:val="000000"/>
          <w:sz w:val="32"/>
          <w:szCs w:val="32"/>
        </w:rPr>
      </w:pPr>
      <w:r>
        <w:rPr>
          <w:rFonts w:hint="eastAsia" w:ascii="黑体" w:hAnsi="黑体" w:eastAsia="黑体" w:cs="黑体"/>
          <w:b w:val="0"/>
          <w:bCs/>
          <w:color w:val="000000"/>
          <w:sz w:val="32"/>
          <w:szCs w:val="32"/>
        </w:rPr>
        <w:t>二、防控策略</w:t>
      </w:r>
    </w:p>
    <w:p>
      <w:pPr>
        <w:keepNext w:val="0"/>
        <w:keepLines w:val="0"/>
        <w:pageBreakBefore w:val="0"/>
        <w:widowControl w:val="0"/>
        <w:kinsoku/>
        <w:wordWrap/>
        <w:overflowPunct/>
        <w:topLinePunct w:val="0"/>
        <w:autoSpaceDE/>
        <w:autoSpaceDN/>
        <w:bidi w:val="0"/>
        <w:adjustRightInd w:val="0"/>
        <w:spacing w:line="540" w:lineRule="exact"/>
        <w:ind w:left="0" w:firstLine="640"/>
        <w:textAlignment w:val="auto"/>
        <w:rPr>
          <w:rFonts w:ascii="仿宋_GB2312" w:hAnsi="宋体" w:eastAsia="仿宋_GB2312" w:cs="宋体"/>
          <w:color w:val="000000"/>
          <w:kern w:val="0"/>
          <w:sz w:val="32"/>
          <w:szCs w:val="32"/>
        </w:rPr>
      </w:pPr>
      <w:r>
        <w:rPr>
          <w:rFonts w:hint="eastAsia" w:ascii="仿宋_GB2312" w:hAnsi="宋体" w:eastAsia="仿宋_GB2312" w:cs="宋体"/>
          <w:color w:val="000000"/>
          <w:kern w:val="0"/>
          <w:sz w:val="32"/>
          <w:szCs w:val="32"/>
        </w:rPr>
        <w:t>坚持预防为主，综合防治，推进统防统治</w:t>
      </w:r>
      <w:r>
        <w:rPr>
          <w:rFonts w:hint="eastAsia" w:ascii="仿宋_GB2312" w:hAnsi="宋体" w:eastAsia="仿宋_GB2312" w:cs="宋体"/>
          <w:color w:val="000000"/>
          <w:kern w:val="0"/>
          <w:sz w:val="32"/>
          <w:szCs w:val="32"/>
          <w:lang w:val="en-US" w:eastAsia="zh-CN"/>
        </w:rPr>
        <w:t>与</w:t>
      </w:r>
      <w:r>
        <w:rPr>
          <w:rFonts w:hint="eastAsia" w:ascii="仿宋_GB2312" w:hAnsi="宋体" w:eastAsia="仿宋_GB2312" w:cs="宋体"/>
          <w:color w:val="000000"/>
          <w:kern w:val="0"/>
          <w:sz w:val="32"/>
          <w:szCs w:val="32"/>
        </w:rPr>
        <w:t>绿色防控</w:t>
      </w:r>
      <w:r>
        <w:rPr>
          <w:rFonts w:hint="eastAsia" w:ascii="仿宋_GB2312" w:hAnsi="宋体" w:eastAsia="仿宋_GB2312" w:cs="宋体"/>
          <w:color w:val="000000"/>
          <w:kern w:val="0"/>
          <w:sz w:val="32"/>
          <w:szCs w:val="32"/>
          <w:lang w:val="en-US" w:eastAsia="zh-CN"/>
        </w:rPr>
        <w:t>融合发展</w:t>
      </w:r>
      <w:r>
        <w:rPr>
          <w:rFonts w:hint="eastAsia" w:ascii="仿宋_GB2312" w:hAnsi="宋体" w:eastAsia="仿宋_GB2312" w:cs="宋体"/>
          <w:color w:val="000000"/>
          <w:kern w:val="0"/>
          <w:sz w:val="32"/>
          <w:szCs w:val="32"/>
        </w:rPr>
        <w:t>，实现控害保产、减药增效。病虫害防控以稻田生态系统和健康水稻为中心，以抗（耐）病虫品种、生态调控为基础，优先采用农艺措施、理化诱控、生物防治等非化学的绿色防控措施，增强稻田生态系统自然控害能力，降低发生基数。合理安全应用高效低风险农药预防和应急防治。</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3"/>
        <w:textAlignment w:val="auto"/>
        <w:rPr>
          <w:rFonts w:hint="eastAsia" w:ascii="黑体" w:hAnsi="黑体" w:eastAsia="黑体" w:cs="黑体"/>
          <w:b w:val="0"/>
          <w:bCs/>
          <w:color w:val="000000"/>
          <w:sz w:val="32"/>
          <w:szCs w:val="32"/>
        </w:rPr>
      </w:pPr>
      <w:r>
        <w:rPr>
          <w:rFonts w:hint="eastAsia" w:ascii="黑体" w:hAnsi="黑体" w:eastAsia="黑体" w:cs="黑体"/>
          <w:b w:val="0"/>
          <w:bCs/>
          <w:color w:val="000000"/>
          <w:sz w:val="32"/>
          <w:szCs w:val="32"/>
        </w:rPr>
        <w:t>三、防控重点</w:t>
      </w:r>
    </w:p>
    <w:p>
      <w:pPr>
        <w:keepNext w:val="0"/>
        <w:keepLines w:val="0"/>
        <w:pageBreakBefore w:val="0"/>
        <w:widowControl w:val="0"/>
        <w:kinsoku/>
        <w:wordWrap/>
        <w:overflowPunct/>
        <w:topLinePunct w:val="0"/>
        <w:autoSpaceDE/>
        <w:autoSpaceDN/>
        <w:bidi w:val="0"/>
        <w:adjustRightInd w:val="0"/>
        <w:spacing w:line="540" w:lineRule="exact"/>
        <w:ind w:left="0" w:firstLine="640"/>
        <w:textAlignment w:val="auto"/>
        <w:outlineLvl w:val="0"/>
        <w:rPr>
          <w:rFonts w:ascii="仿宋_GB2312" w:hAnsi="微软雅黑" w:eastAsia="仿宋_GB2312" w:cs="宋体"/>
          <w:color w:val="000000"/>
          <w:kern w:val="0"/>
          <w:sz w:val="32"/>
          <w:szCs w:val="32"/>
        </w:rPr>
      </w:pPr>
      <w:r>
        <w:rPr>
          <w:rFonts w:hint="eastAsia" w:ascii="仿宋_GB2312" w:hAnsi="微软雅黑" w:eastAsia="仿宋_GB2312" w:cs="宋体"/>
          <w:color w:val="000000"/>
          <w:kern w:val="0"/>
          <w:sz w:val="32"/>
          <w:szCs w:val="32"/>
        </w:rPr>
        <w:t>主要抓好稻飞虱、稻纵卷叶螟、二化螟、稻瘟病、纹枯病的防控</w:t>
      </w:r>
      <w:r>
        <w:rPr>
          <w:rFonts w:hint="eastAsia" w:ascii="仿宋_GB2312" w:hAnsi="微软雅黑" w:eastAsia="仿宋_GB2312" w:cs="宋体"/>
          <w:color w:val="000000"/>
          <w:kern w:val="0"/>
          <w:sz w:val="32"/>
          <w:szCs w:val="32"/>
          <w:lang w:eastAsia="zh-CN"/>
        </w:rPr>
        <w:t>，</w:t>
      </w:r>
      <w:r>
        <w:rPr>
          <w:rFonts w:hint="eastAsia" w:ascii="仿宋_GB2312" w:hAnsi="微软雅黑" w:eastAsia="仿宋_GB2312" w:cs="宋体"/>
          <w:color w:val="000000"/>
          <w:kern w:val="0"/>
          <w:sz w:val="32"/>
          <w:szCs w:val="32"/>
        </w:rPr>
        <w:t>落实好恶苗病、干尖线虫病、稻曲病的预防措施，密切关注穗腐病、白叶枯病等一些新发病虫害。稻飞虱以褐飞虱为重点，稻纵卷叶螟重点保护“上三叶”（功能叶），二化螟狠治一代，重治穗期</w:t>
      </w:r>
      <w:r>
        <w:rPr>
          <w:rFonts w:hint="eastAsia" w:ascii="仿宋_GB2312" w:hAnsi="微软雅黑" w:eastAsia="仿宋_GB2312" w:cs="宋体"/>
          <w:color w:val="000000"/>
          <w:kern w:val="0"/>
          <w:sz w:val="32"/>
          <w:szCs w:val="32"/>
          <w:lang w:eastAsia="zh-CN"/>
        </w:rPr>
        <w:t>；</w:t>
      </w:r>
      <w:r>
        <w:rPr>
          <w:rFonts w:hint="eastAsia" w:ascii="仿宋_GB2312" w:hAnsi="微软雅黑" w:eastAsia="仿宋_GB2312" w:cs="宋体"/>
          <w:color w:val="000000"/>
          <w:kern w:val="0"/>
          <w:sz w:val="32"/>
          <w:szCs w:val="32"/>
        </w:rPr>
        <w:t>稻瘟病重在预防，狠抓破口抽穗期预防，严防穗瘟流行，纹枯病抓好水稻分蘖期和拔节期的防控</w:t>
      </w:r>
      <w:r>
        <w:rPr>
          <w:rFonts w:hint="eastAsia" w:ascii="仿宋_GB2312" w:hAnsi="微软雅黑" w:eastAsia="仿宋_GB2312" w:cs="宋体"/>
          <w:color w:val="000000"/>
          <w:kern w:val="0"/>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3"/>
        <w:textAlignment w:val="auto"/>
        <w:rPr>
          <w:rFonts w:hint="eastAsia" w:ascii="黑体" w:hAnsi="黑体" w:eastAsia="黑体" w:cs="黑体"/>
          <w:b w:val="0"/>
          <w:bCs/>
          <w:color w:val="000000"/>
          <w:sz w:val="32"/>
          <w:szCs w:val="32"/>
        </w:rPr>
      </w:pPr>
      <w:r>
        <w:rPr>
          <w:rFonts w:hint="eastAsia" w:ascii="黑体" w:hAnsi="黑体" w:eastAsia="黑体" w:cs="黑体"/>
          <w:b w:val="0"/>
          <w:bCs/>
          <w:color w:val="000000"/>
          <w:sz w:val="32"/>
          <w:szCs w:val="32"/>
        </w:rPr>
        <w:t>四、防控</w:t>
      </w:r>
      <w:r>
        <w:rPr>
          <w:rFonts w:hint="eastAsia" w:ascii="黑体" w:hAnsi="黑体" w:eastAsia="黑体" w:cs="黑体"/>
          <w:b w:val="0"/>
          <w:bCs/>
          <w:color w:val="000000"/>
          <w:sz w:val="32"/>
          <w:szCs w:val="32"/>
          <w:lang w:val="en-US" w:eastAsia="zh-CN"/>
        </w:rPr>
        <w:t>技术</w:t>
      </w:r>
      <w:r>
        <w:rPr>
          <w:rFonts w:hint="eastAsia" w:ascii="黑体" w:hAnsi="黑体" w:eastAsia="黑体" w:cs="黑体"/>
          <w:b w:val="0"/>
          <w:bCs/>
          <w:color w:val="000000"/>
          <w:sz w:val="32"/>
          <w:szCs w:val="32"/>
        </w:rPr>
        <w:t>措施</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rPr>
          <w:rFonts w:hint="eastAsia" w:ascii="楷体_GB2312" w:hAnsi="楷体_GB2312" w:eastAsia="楷体_GB2312" w:cs="楷体_GB2312"/>
          <w:color w:val="000000"/>
          <w:sz w:val="32"/>
          <w:szCs w:val="32"/>
        </w:rPr>
      </w:pPr>
      <w:r>
        <w:rPr>
          <w:rFonts w:hint="eastAsia" w:ascii="楷体_GB2312" w:hAnsi="楷体_GB2312" w:eastAsia="楷体_GB2312" w:cs="楷体_GB2312"/>
          <w:b/>
          <w:bCs w:val="0"/>
          <w:color w:val="000000"/>
          <w:sz w:val="32"/>
          <w:szCs w:val="32"/>
        </w:rPr>
        <w:t>（一）农业防治</w:t>
      </w:r>
      <w:r>
        <w:rPr>
          <w:rFonts w:hint="eastAsia" w:ascii="楷体_GB2312" w:hAnsi="楷体_GB2312" w:eastAsia="楷体_GB2312" w:cs="楷体_GB2312"/>
          <w:b/>
          <w:bCs w:val="0"/>
          <w:color w:val="000000"/>
          <w:sz w:val="32"/>
          <w:szCs w:val="32"/>
          <w:lang w:val="en-US" w:eastAsia="zh-CN"/>
        </w:rPr>
        <w:t>技术</w:t>
      </w:r>
      <w:r>
        <w:rPr>
          <w:rFonts w:hint="eastAsia" w:ascii="楷体_GB2312" w:hAnsi="楷体_GB2312" w:eastAsia="楷体_GB2312" w:cs="楷体_GB2312"/>
          <w:b/>
          <w:bCs w:val="0"/>
          <w:color w:val="000000"/>
          <w:sz w:val="32"/>
          <w:szCs w:val="32"/>
        </w:rPr>
        <w:t>措施</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outlineLvl w:val="0"/>
        <w:rPr>
          <w:rFonts w:ascii="仿宋_GB2312" w:hAnsi="微软雅黑" w:eastAsia="仿宋_GB2312" w:cs="宋体"/>
          <w:bCs/>
          <w:color w:val="000000"/>
          <w:kern w:val="0"/>
          <w:sz w:val="32"/>
          <w:szCs w:val="32"/>
        </w:rPr>
      </w:pPr>
      <w:r>
        <w:rPr>
          <w:rFonts w:ascii="仿宋_GB2312" w:hAnsi="微软雅黑" w:eastAsia="仿宋_GB2312" w:cs="宋体"/>
          <w:b/>
          <w:bCs w:val="0"/>
          <w:color w:val="000000"/>
          <w:kern w:val="0"/>
          <w:sz w:val="32"/>
          <w:szCs w:val="32"/>
        </w:rPr>
        <w:t>1</w:t>
      </w:r>
      <w:r>
        <w:rPr>
          <w:rFonts w:hint="eastAsia" w:ascii="仿宋_GB2312" w:hAnsi="微软雅黑" w:eastAsia="仿宋_GB2312" w:cs="宋体"/>
          <w:b/>
          <w:bCs w:val="0"/>
          <w:color w:val="000000"/>
          <w:kern w:val="0"/>
          <w:sz w:val="32"/>
          <w:szCs w:val="32"/>
          <w:lang w:val="en-US" w:eastAsia="zh-CN"/>
        </w:rPr>
        <w:t>.</w:t>
      </w:r>
      <w:r>
        <w:rPr>
          <w:rFonts w:ascii="仿宋_GB2312" w:hAnsi="微软雅黑" w:eastAsia="仿宋_GB2312" w:cs="宋体"/>
          <w:b/>
          <w:bCs w:val="0"/>
          <w:color w:val="000000"/>
          <w:kern w:val="0"/>
          <w:sz w:val="32"/>
          <w:szCs w:val="32"/>
        </w:rPr>
        <w:t>选用抗（耐）性品种</w:t>
      </w:r>
      <w:r>
        <w:rPr>
          <w:rFonts w:hint="eastAsia" w:ascii="仿宋_GB2312" w:hAnsi="微软雅黑" w:eastAsia="仿宋_GB2312" w:cs="宋体"/>
          <w:b/>
          <w:bCs w:val="0"/>
          <w:color w:val="000000"/>
          <w:kern w:val="0"/>
          <w:sz w:val="32"/>
          <w:szCs w:val="32"/>
          <w:lang w:eastAsia="zh-CN"/>
        </w:rPr>
        <w:t>。</w:t>
      </w:r>
      <w:r>
        <w:rPr>
          <w:rFonts w:ascii="仿宋_GB2312" w:hAnsi="微软雅黑" w:eastAsia="仿宋_GB2312" w:cs="宋体"/>
          <w:bCs/>
          <w:color w:val="000000"/>
          <w:kern w:val="0"/>
          <w:sz w:val="32"/>
          <w:szCs w:val="32"/>
        </w:rPr>
        <w:t>选用抗（耐）稻瘟病、稻曲病、褐飞虱、白背飞虱的水稻品种，避免种植高（易）感品种。合理布局种植不同遗传背景的水稻品种。</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outlineLvl w:val="0"/>
        <w:rPr>
          <w:rFonts w:ascii="仿宋_GB2312" w:hAnsi="微软雅黑" w:eastAsia="仿宋_GB2312" w:cs="宋体"/>
          <w:bCs/>
          <w:color w:val="000000"/>
          <w:kern w:val="0"/>
          <w:sz w:val="32"/>
          <w:szCs w:val="32"/>
        </w:rPr>
      </w:pPr>
      <w:r>
        <w:rPr>
          <w:rFonts w:ascii="仿宋_GB2312" w:hAnsi="微软雅黑" w:eastAsia="仿宋_GB2312" w:cs="宋体"/>
          <w:b/>
          <w:bCs w:val="0"/>
          <w:color w:val="000000"/>
          <w:kern w:val="0"/>
          <w:sz w:val="32"/>
          <w:szCs w:val="32"/>
        </w:rPr>
        <w:t>2</w:t>
      </w:r>
      <w:r>
        <w:rPr>
          <w:rFonts w:hint="eastAsia" w:ascii="仿宋_GB2312" w:hAnsi="微软雅黑" w:eastAsia="仿宋_GB2312" w:cs="宋体"/>
          <w:b/>
          <w:bCs w:val="0"/>
          <w:color w:val="000000"/>
          <w:kern w:val="0"/>
          <w:sz w:val="32"/>
          <w:szCs w:val="32"/>
          <w:lang w:val="en-US" w:eastAsia="zh-CN"/>
        </w:rPr>
        <w:t>.</w:t>
      </w:r>
      <w:r>
        <w:rPr>
          <w:rFonts w:ascii="仿宋_GB2312" w:hAnsi="微软雅黑" w:eastAsia="仿宋_GB2312" w:cs="宋体"/>
          <w:b/>
          <w:bCs w:val="0"/>
          <w:color w:val="000000"/>
          <w:kern w:val="0"/>
          <w:sz w:val="32"/>
          <w:szCs w:val="32"/>
        </w:rPr>
        <w:t>深翻灌水</w:t>
      </w:r>
      <w:r>
        <w:rPr>
          <w:rFonts w:hint="eastAsia" w:ascii="仿宋_GB2312" w:hAnsi="微软雅黑" w:eastAsia="仿宋_GB2312" w:cs="宋体"/>
          <w:b/>
          <w:bCs w:val="0"/>
          <w:color w:val="000000"/>
          <w:kern w:val="0"/>
          <w:sz w:val="32"/>
          <w:szCs w:val="32"/>
          <w:lang w:eastAsia="zh-CN"/>
        </w:rPr>
        <w:t>。</w:t>
      </w:r>
      <w:r>
        <w:rPr>
          <w:rFonts w:ascii="仿宋_GB2312" w:hAnsi="微软雅黑" w:eastAsia="仿宋_GB2312" w:cs="宋体"/>
          <w:bCs/>
          <w:color w:val="000000"/>
          <w:kern w:val="0"/>
          <w:sz w:val="32"/>
          <w:szCs w:val="32"/>
        </w:rPr>
        <w:t>修缮农田基础设施，实施精细化机械作业，同一块田块高低落差控制在5cm以内，确保良好的保水和排灌功能。利用螟虫化蛹期抗逆性弱的特点，在越冬代螟虫化蛹期翻耕冬闲田、绿肥田，灌深水浸没稻桩7～10天，降低虫源基数。</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outlineLvl w:val="0"/>
        <w:rPr>
          <w:rFonts w:ascii="仿宋_GB2312" w:hAnsi="微软雅黑" w:eastAsia="仿宋_GB2312" w:cs="宋体"/>
          <w:bCs/>
          <w:color w:val="000000"/>
          <w:kern w:val="0"/>
          <w:sz w:val="32"/>
          <w:szCs w:val="32"/>
        </w:rPr>
      </w:pPr>
      <w:r>
        <w:rPr>
          <w:rFonts w:ascii="仿宋_GB2312" w:hAnsi="微软雅黑" w:eastAsia="仿宋_GB2312" w:cs="宋体"/>
          <w:b/>
          <w:bCs w:val="0"/>
          <w:color w:val="000000"/>
          <w:kern w:val="0"/>
          <w:sz w:val="32"/>
          <w:szCs w:val="32"/>
        </w:rPr>
        <w:t>3</w:t>
      </w:r>
      <w:r>
        <w:rPr>
          <w:rFonts w:hint="eastAsia" w:ascii="仿宋_GB2312" w:hAnsi="微软雅黑" w:eastAsia="仿宋_GB2312" w:cs="宋体"/>
          <w:b/>
          <w:bCs w:val="0"/>
          <w:color w:val="000000"/>
          <w:kern w:val="0"/>
          <w:sz w:val="32"/>
          <w:szCs w:val="32"/>
          <w:lang w:val="en-US" w:eastAsia="zh-CN"/>
        </w:rPr>
        <w:t>.</w:t>
      </w:r>
      <w:r>
        <w:rPr>
          <w:rFonts w:ascii="仿宋_GB2312" w:hAnsi="微软雅黑" w:eastAsia="仿宋_GB2312" w:cs="宋体"/>
          <w:b/>
          <w:bCs w:val="0"/>
          <w:color w:val="000000"/>
          <w:kern w:val="0"/>
          <w:sz w:val="32"/>
          <w:szCs w:val="32"/>
        </w:rPr>
        <w:t>健身栽培</w:t>
      </w:r>
      <w:r>
        <w:rPr>
          <w:rFonts w:hint="eastAsia" w:ascii="仿宋_GB2312" w:hAnsi="微软雅黑" w:eastAsia="仿宋_GB2312" w:cs="宋体"/>
          <w:b/>
          <w:bCs w:val="0"/>
          <w:color w:val="000000"/>
          <w:kern w:val="0"/>
          <w:sz w:val="32"/>
          <w:szCs w:val="32"/>
          <w:lang w:eastAsia="zh-CN"/>
        </w:rPr>
        <w:t>。</w:t>
      </w:r>
      <w:r>
        <w:rPr>
          <w:rFonts w:ascii="仿宋_GB2312" w:hAnsi="微软雅黑" w:eastAsia="仿宋_GB2312" w:cs="宋体"/>
          <w:bCs/>
          <w:color w:val="000000"/>
          <w:kern w:val="0"/>
          <w:sz w:val="32"/>
          <w:szCs w:val="32"/>
        </w:rPr>
        <w:t>适期播种，避开螟虫越冬代产卵盛期和灰飞虱集中迁移为害期。加强水肥管理，合理掌握氮磷钾肥配合施用，避免重施、偏施、迟施氮肥，增施磷钾肥，提高水稻抗逆性。掌握湿润灌溉，适时晒田，控制田间湿度。稻纵卷叶螟发生严重时，适当调节搁田时间，降低幼虫孵化期田间湿度，在化蛹高峰期灌深水2～3天，杀死虫蛹。</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outlineLvl w:val="0"/>
        <w:rPr>
          <w:rFonts w:ascii="仿宋_GB2312" w:hAnsi="微软雅黑" w:eastAsia="仿宋_GB2312" w:cs="宋体"/>
          <w:bCs/>
          <w:color w:val="000000"/>
          <w:kern w:val="0"/>
          <w:sz w:val="32"/>
          <w:szCs w:val="32"/>
        </w:rPr>
      </w:pPr>
      <w:r>
        <w:rPr>
          <w:rFonts w:ascii="仿宋_GB2312" w:hAnsi="微软雅黑" w:eastAsia="仿宋_GB2312" w:cs="宋体"/>
          <w:b/>
          <w:bCs w:val="0"/>
          <w:color w:val="000000"/>
          <w:kern w:val="0"/>
          <w:sz w:val="32"/>
          <w:szCs w:val="32"/>
        </w:rPr>
        <w:t>4</w:t>
      </w:r>
      <w:r>
        <w:rPr>
          <w:rFonts w:hint="eastAsia" w:ascii="仿宋_GB2312" w:hAnsi="微软雅黑" w:eastAsia="仿宋_GB2312" w:cs="宋体"/>
          <w:b/>
          <w:bCs w:val="0"/>
          <w:color w:val="000000"/>
          <w:kern w:val="0"/>
          <w:sz w:val="32"/>
          <w:szCs w:val="32"/>
          <w:lang w:val="en-US" w:eastAsia="zh-CN"/>
        </w:rPr>
        <w:t>.</w:t>
      </w:r>
      <w:r>
        <w:rPr>
          <w:rFonts w:ascii="仿宋_GB2312" w:hAnsi="微软雅黑" w:eastAsia="仿宋_GB2312" w:cs="宋体"/>
          <w:b/>
          <w:bCs w:val="0"/>
          <w:color w:val="000000"/>
          <w:kern w:val="0"/>
          <w:sz w:val="32"/>
          <w:szCs w:val="32"/>
        </w:rPr>
        <w:t>清洁田园</w:t>
      </w:r>
      <w:r>
        <w:rPr>
          <w:rFonts w:hint="eastAsia" w:ascii="仿宋_GB2312" w:hAnsi="微软雅黑" w:eastAsia="仿宋_GB2312" w:cs="宋体"/>
          <w:b/>
          <w:bCs w:val="0"/>
          <w:color w:val="000000"/>
          <w:kern w:val="0"/>
          <w:sz w:val="32"/>
          <w:szCs w:val="32"/>
          <w:lang w:eastAsia="zh-CN"/>
        </w:rPr>
        <w:t>。</w:t>
      </w:r>
      <w:r>
        <w:rPr>
          <w:rFonts w:ascii="仿宋_GB2312" w:hAnsi="微软雅黑" w:eastAsia="仿宋_GB2312" w:cs="宋体"/>
          <w:bCs/>
          <w:color w:val="000000"/>
          <w:kern w:val="0"/>
          <w:sz w:val="32"/>
          <w:szCs w:val="32"/>
        </w:rPr>
        <w:t>播栽前整田灌水，捞去下风头稻田边和田角水面浪渣深埋，减少病菌、杂草基数。低茬收割，秸秆粉碎后还田。螟虫、稻瘟病、纹枯病、细菌性病害重发田的稻草避免直接还田，应离田后综合利用。</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rPr>
          <w:rFonts w:hint="eastAsia" w:ascii="楷体_GB2312" w:hAnsi="楷体_GB2312" w:eastAsia="楷体_GB2312" w:cs="楷体_GB2312"/>
          <w:bCs/>
          <w:color w:val="000000"/>
          <w:sz w:val="32"/>
          <w:szCs w:val="32"/>
          <w:lang w:eastAsia="zh-CN"/>
        </w:rPr>
      </w:pPr>
      <w:r>
        <w:rPr>
          <w:rFonts w:hint="eastAsia" w:ascii="楷体_GB2312" w:hAnsi="楷体_GB2312" w:eastAsia="楷体_GB2312" w:cs="楷体_GB2312"/>
          <w:b/>
          <w:bCs w:val="0"/>
          <w:color w:val="000000"/>
          <w:sz w:val="32"/>
          <w:szCs w:val="32"/>
        </w:rPr>
        <w:t>（二）非化学绿色防控</w:t>
      </w:r>
      <w:r>
        <w:rPr>
          <w:rFonts w:hint="eastAsia" w:ascii="楷体_GB2312" w:hAnsi="楷体_GB2312" w:eastAsia="楷体_GB2312" w:cs="楷体_GB2312"/>
          <w:b/>
          <w:bCs w:val="0"/>
          <w:color w:val="000000"/>
          <w:sz w:val="32"/>
          <w:szCs w:val="32"/>
          <w:lang w:val="en-US" w:eastAsia="zh-CN"/>
        </w:rPr>
        <w:t>技术措施</w:t>
      </w:r>
    </w:p>
    <w:p>
      <w:pPr>
        <w:keepNext w:val="0"/>
        <w:keepLines w:val="0"/>
        <w:pageBreakBefore w:val="0"/>
        <w:widowControl w:val="0"/>
        <w:kinsoku/>
        <w:wordWrap/>
        <w:overflowPunct/>
        <w:topLinePunct w:val="0"/>
        <w:autoSpaceDE/>
        <w:autoSpaceDN/>
        <w:bidi w:val="0"/>
        <w:adjustRightInd w:val="0"/>
        <w:spacing w:line="540" w:lineRule="exact"/>
        <w:ind w:left="0" w:firstLine="640"/>
        <w:textAlignment w:val="auto"/>
        <w:outlineLvl w:val="0"/>
        <w:rPr>
          <w:rFonts w:ascii="仿宋_GB2312" w:hAnsi="微软雅黑" w:eastAsia="仿宋_GB2312" w:cs="宋体"/>
          <w:color w:val="000000"/>
          <w:kern w:val="0"/>
          <w:sz w:val="32"/>
          <w:szCs w:val="32"/>
        </w:rPr>
      </w:pPr>
      <w:r>
        <w:rPr>
          <w:rFonts w:hint="eastAsia" w:ascii="仿宋_GB2312" w:hAnsi="微软雅黑" w:eastAsia="仿宋_GB2312" w:cs="宋体"/>
          <w:b/>
          <w:bCs w:val="0"/>
          <w:color w:val="000000"/>
          <w:kern w:val="0"/>
          <w:sz w:val="32"/>
          <w:szCs w:val="32"/>
        </w:rPr>
        <w:t>1</w:t>
      </w:r>
      <w:r>
        <w:rPr>
          <w:rFonts w:hint="eastAsia" w:ascii="仿宋_GB2312" w:hAnsi="微软雅黑" w:eastAsia="仿宋_GB2312" w:cs="宋体"/>
          <w:b/>
          <w:bCs w:val="0"/>
          <w:color w:val="000000"/>
          <w:kern w:val="0"/>
          <w:sz w:val="32"/>
          <w:szCs w:val="32"/>
          <w:lang w:val="en-US" w:eastAsia="zh-CN"/>
        </w:rPr>
        <w:t>.</w:t>
      </w:r>
      <w:r>
        <w:rPr>
          <w:rFonts w:hint="eastAsia" w:ascii="仿宋_GB2312" w:hAnsi="微软雅黑" w:eastAsia="仿宋_GB2312" w:cs="宋体"/>
          <w:b/>
          <w:bCs w:val="0"/>
          <w:color w:val="000000"/>
          <w:kern w:val="0"/>
          <w:sz w:val="32"/>
          <w:szCs w:val="32"/>
        </w:rPr>
        <w:t>生态调控。</w:t>
      </w:r>
      <w:r>
        <w:rPr>
          <w:rFonts w:hint="eastAsia" w:ascii="仿宋_GB2312" w:hAnsi="微软雅黑" w:eastAsia="仿宋_GB2312" w:cs="宋体"/>
          <w:color w:val="000000"/>
          <w:kern w:val="0"/>
          <w:sz w:val="32"/>
          <w:szCs w:val="32"/>
        </w:rPr>
        <w:t>田埂、路边、沟边种植芝麻、大豆、波斯菊等显花植物，保护和提高蜘蛛、寄生蜂等天敌的控害能力。种植香根草等诱集植物，减少螟虫的种群基数。农田四周田埂上不使用除草剂，杂草过旺时采用割草的方式除草，为天敌提供栖息地。</w:t>
      </w:r>
    </w:p>
    <w:p>
      <w:pPr>
        <w:keepNext w:val="0"/>
        <w:keepLines w:val="0"/>
        <w:pageBreakBefore w:val="0"/>
        <w:widowControl w:val="0"/>
        <w:kinsoku/>
        <w:wordWrap/>
        <w:overflowPunct/>
        <w:topLinePunct w:val="0"/>
        <w:autoSpaceDE/>
        <w:autoSpaceDN/>
        <w:bidi w:val="0"/>
        <w:adjustRightInd w:val="0"/>
        <w:spacing w:line="540" w:lineRule="exact"/>
        <w:ind w:left="0" w:firstLine="640"/>
        <w:textAlignment w:val="auto"/>
        <w:outlineLvl w:val="0"/>
        <w:rPr>
          <w:rFonts w:ascii="仿宋_GB2312" w:hAnsi="微软雅黑" w:eastAsia="仿宋_GB2312" w:cs="宋体"/>
          <w:color w:val="000000"/>
          <w:kern w:val="0"/>
          <w:sz w:val="32"/>
          <w:szCs w:val="32"/>
        </w:rPr>
      </w:pPr>
      <w:r>
        <w:rPr>
          <w:rFonts w:hint="eastAsia" w:ascii="仿宋_GB2312" w:hAnsi="微软雅黑" w:eastAsia="仿宋_GB2312" w:cs="宋体"/>
          <w:b/>
          <w:color w:val="000000"/>
          <w:kern w:val="0"/>
          <w:sz w:val="32"/>
          <w:szCs w:val="32"/>
        </w:rPr>
        <w:t>2</w:t>
      </w:r>
      <w:r>
        <w:rPr>
          <w:rFonts w:hint="eastAsia" w:ascii="仿宋_GB2312" w:hAnsi="微软雅黑" w:eastAsia="仿宋_GB2312" w:cs="宋体"/>
          <w:b/>
          <w:color w:val="000000"/>
          <w:kern w:val="0"/>
          <w:sz w:val="32"/>
          <w:szCs w:val="32"/>
          <w:lang w:val="en-US" w:eastAsia="zh-CN"/>
        </w:rPr>
        <w:t>.</w:t>
      </w:r>
      <w:r>
        <w:rPr>
          <w:rFonts w:hint="eastAsia" w:ascii="仿宋_GB2312" w:hAnsi="微软雅黑" w:eastAsia="仿宋_GB2312" w:cs="宋体"/>
          <w:b/>
          <w:bCs w:val="0"/>
          <w:color w:val="000000"/>
          <w:kern w:val="0"/>
          <w:sz w:val="32"/>
          <w:szCs w:val="32"/>
        </w:rPr>
        <w:t>性信息素诱杀。</w:t>
      </w:r>
      <w:r>
        <w:rPr>
          <w:rFonts w:hint="eastAsia" w:ascii="仿宋_GB2312" w:hAnsi="微软雅黑" w:eastAsia="仿宋_GB2312" w:cs="宋体"/>
          <w:color w:val="000000"/>
          <w:kern w:val="0"/>
          <w:sz w:val="32"/>
          <w:szCs w:val="32"/>
        </w:rPr>
        <w:t>根据螟虫冬后调查情况，在螟虫基数较高的区域，于越冬代螟虫始蛾期开始，集中连片使用性信息素，通过干扰交配或群集诱杀来控制害虫基数。</w:t>
      </w:r>
    </w:p>
    <w:p>
      <w:pPr>
        <w:keepNext w:val="0"/>
        <w:keepLines w:val="0"/>
        <w:pageBreakBefore w:val="0"/>
        <w:widowControl w:val="0"/>
        <w:kinsoku/>
        <w:wordWrap/>
        <w:overflowPunct/>
        <w:topLinePunct w:val="0"/>
        <w:autoSpaceDE/>
        <w:autoSpaceDN/>
        <w:bidi w:val="0"/>
        <w:adjustRightInd w:val="0"/>
        <w:spacing w:line="540" w:lineRule="exact"/>
        <w:ind w:left="0" w:firstLine="640"/>
        <w:textAlignment w:val="auto"/>
        <w:outlineLvl w:val="0"/>
        <w:rPr>
          <w:rFonts w:hint="eastAsia" w:ascii="仿宋_GB2312" w:hAnsi="微软雅黑" w:eastAsia="仿宋_GB2312" w:cs="宋体"/>
          <w:b/>
          <w:color w:val="000000"/>
          <w:kern w:val="0"/>
          <w:sz w:val="32"/>
          <w:szCs w:val="32"/>
        </w:rPr>
      </w:pPr>
      <w:r>
        <w:rPr>
          <w:rFonts w:hint="eastAsia" w:ascii="仿宋_GB2312" w:hAnsi="微软雅黑" w:eastAsia="仿宋_GB2312" w:cs="宋体"/>
          <w:b/>
          <w:color w:val="000000"/>
          <w:kern w:val="0"/>
          <w:sz w:val="32"/>
          <w:szCs w:val="32"/>
        </w:rPr>
        <w:t>3</w:t>
      </w:r>
      <w:r>
        <w:rPr>
          <w:rFonts w:hint="eastAsia" w:ascii="仿宋_GB2312" w:hAnsi="微软雅黑" w:eastAsia="仿宋_GB2312" w:cs="宋体"/>
          <w:b/>
          <w:color w:val="000000"/>
          <w:kern w:val="0"/>
          <w:sz w:val="32"/>
          <w:szCs w:val="32"/>
          <w:lang w:val="en-US" w:eastAsia="zh-CN"/>
        </w:rPr>
        <w:t>.</w:t>
      </w:r>
      <w:r>
        <w:rPr>
          <w:rFonts w:hint="eastAsia" w:ascii="仿宋_GB2312" w:hAnsi="微软雅黑" w:eastAsia="仿宋_GB2312" w:cs="宋体"/>
          <w:b/>
          <w:color w:val="000000"/>
          <w:kern w:val="0"/>
          <w:sz w:val="32"/>
          <w:szCs w:val="32"/>
        </w:rPr>
        <w:t>物理阻隔</w:t>
      </w:r>
      <w:r>
        <w:rPr>
          <w:rFonts w:hint="eastAsia" w:ascii="仿宋_GB2312" w:hAnsi="微软雅黑" w:eastAsia="仿宋_GB2312" w:cs="宋体"/>
          <w:b/>
          <w:color w:val="000000"/>
          <w:kern w:val="0"/>
          <w:sz w:val="32"/>
          <w:szCs w:val="32"/>
          <w:lang w:eastAsia="zh-CN"/>
        </w:rPr>
        <w:t>。</w:t>
      </w:r>
      <w:r>
        <w:rPr>
          <w:rFonts w:ascii="仿宋_GB2312" w:hAnsi="微软雅黑" w:eastAsia="仿宋_GB2312" w:cs="宋体"/>
          <w:color w:val="000000"/>
          <w:kern w:val="0"/>
          <w:sz w:val="32"/>
          <w:szCs w:val="32"/>
        </w:rPr>
        <w:t>在田块进水口安置尼龙纱网拦截杂草种子。若育秧期田间灰飞虱或螟虫基数大，在水稻秧苗期采用20～40目防虫网或无纺布全程覆盖，阻隔稻飞虱，预防病毒病；阻隔螟虫产</w:t>
      </w:r>
      <w:r>
        <w:rPr>
          <w:rFonts w:hint="eastAsia" w:ascii="仿宋_GB2312" w:hAnsi="微软雅黑" w:eastAsia="仿宋_GB2312" w:cs="宋体"/>
          <w:b w:val="0"/>
          <w:bCs/>
          <w:color w:val="000000"/>
          <w:kern w:val="0"/>
          <w:sz w:val="32"/>
          <w:szCs w:val="32"/>
        </w:rPr>
        <w:t>卵，减少螟虫基数。</w:t>
      </w:r>
    </w:p>
    <w:p>
      <w:pPr>
        <w:keepNext w:val="0"/>
        <w:keepLines w:val="0"/>
        <w:pageBreakBefore w:val="0"/>
        <w:widowControl w:val="0"/>
        <w:kinsoku/>
        <w:wordWrap/>
        <w:overflowPunct/>
        <w:topLinePunct w:val="0"/>
        <w:autoSpaceDE/>
        <w:autoSpaceDN/>
        <w:bidi w:val="0"/>
        <w:adjustRightInd w:val="0"/>
        <w:spacing w:line="540" w:lineRule="exact"/>
        <w:ind w:left="0" w:firstLine="640"/>
        <w:textAlignment w:val="auto"/>
        <w:outlineLvl w:val="0"/>
        <w:rPr>
          <w:rFonts w:ascii="仿宋_GB2312" w:hAnsi="微软雅黑" w:eastAsia="仿宋_GB2312" w:cs="宋体"/>
          <w:color w:val="000000"/>
          <w:kern w:val="0"/>
          <w:sz w:val="32"/>
          <w:szCs w:val="32"/>
        </w:rPr>
      </w:pPr>
      <w:r>
        <w:rPr>
          <w:rFonts w:hint="eastAsia" w:ascii="仿宋_GB2312" w:hAnsi="微软雅黑" w:eastAsia="仿宋_GB2312" w:cs="宋体"/>
          <w:b/>
          <w:bCs w:val="0"/>
          <w:color w:val="000000"/>
          <w:kern w:val="0"/>
          <w:sz w:val="32"/>
          <w:szCs w:val="32"/>
        </w:rPr>
        <w:t>4</w:t>
      </w:r>
      <w:r>
        <w:rPr>
          <w:rFonts w:hint="eastAsia" w:ascii="仿宋_GB2312" w:hAnsi="微软雅黑" w:eastAsia="仿宋_GB2312" w:cs="宋体"/>
          <w:b/>
          <w:bCs w:val="0"/>
          <w:color w:val="000000"/>
          <w:kern w:val="0"/>
          <w:sz w:val="32"/>
          <w:szCs w:val="32"/>
          <w:lang w:val="en-US" w:eastAsia="zh-CN"/>
        </w:rPr>
        <w:t>.</w:t>
      </w:r>
      <w:r>
        <w:rPr>
          <w:rFonts w:hint="eastAsia" w:ascii="仿宋_GB2312" w:hAnsi="微软雅黑" w:eastAsia="仿宋_GB2312" w:cs="宋体"/>
          <w:b/>
          <w:bCs w:val="0"/>
          <w:color w:val="000000"/>
          <w:kern w:val="0"/>
          <w:sz w:val="32"/>
          <w:szCs w:val="32"/>
        </w:rPr>
        <w:t>种养结合。</w:t>
      </w:r>
      <w:r>
        <w:rPr>
          <w:rFonts w:hint="eastAsia" w:ascii="仿宋_GB2312" w:hAnsi="微软雅黑" w:eastAsia="仿宋_GB2312" w:cs="宋体"/>
          <w:color w:val="000000"/>
          <w:kern w:val="0"/>
          <w:sz w:val="32"/>
          <w:szCs w:val="32"/>
        </w:rPr>
        <w:t>可开展稻田养鸭、养鱼、稻养虾、养蟹等种养结合的种植模式，通过养殖的鸭、鱼、虾、蟹等取食活动，减轻纹枯病、稻飞虱和等病虫害的发生为害。</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rPr>
          <w:rFonts w:hint="eastAsia" w:ascii="楷体_GB2312" w:hAnsi="楷体_GB2312" w:eastAsia="楷体_GB2312" w:cs="楷体_GB2312"/>
          <w:b/>
          <w:bCs w:val="0"/>
          <w:color w:val="000000"/>
          <w:sz w:val="32"/>
          <w:szCs w:val="32"/>
          <w:lang w:val="en-US" w:eastAsia="zh-CN"/>
        </w:rPr>
      </w:pPr>
      <w:r>
        <w:rPr>
          <w:rFonts w:hint="eastAsia" w:ascii="楷体_GB2312" w:hAnsi="楷体_GB2312" w:eastAsia="楷体_GB2312" w:cs="楷体_GB2312"/>
          <w:b/>
          <w:bCs w:val="0"/>
          <w:color w:val="000000"/>
          <w:sz w:val="32"/>
          <w:szCs w:val="32"/>
        </w:rPr>
        <w:t>（三）科学用药技术</w:t>
      </w:r>
      <w:r>
        <w:rPr>
          <w:rFonts w:hint="eastAsia" w:ascii="楷体_GB2312" w:hAnsi="楷体_GB2312" w:eastAsia="楷体_GB2312" w:cs="楷体_GB2312"/>
          <w:b/>
          <w:bCs w:val="0"/>
          <w:color w:val="000000"/>
          <w:sz w:val="32"/>
          <w:szCs w:val="32"/>
          <w:lang w:val="en-US" w:eastAsia="zh-CN"/>
        </w:rPr>
        <w:t>措施</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outlineLvl w:val="0"/>
        <w:rPr>
          <w:rFonts w:hint="eastAsia" w:ascii="仿宋_GB2312" w:hAnsi="仿宋_GB2312" w:eastAsia="仿宋_GB2312" w:cs="仿宋_GB2312"/>
          <w:b/>
          <w:bCs/>
          <w:color w:val="000000"/>
          <w:sz w:val="32"/>
          <w:szCs w:val="32"/>
        </w:rPr>
      </w:pPr>
      <w:r>
        <w:rPr>
          <w:rFonts w:hint="eastAsia" w:ascii="仿宋_GB2312" w:hAnsi="仿宋_GB2312" w:eastAsia="仿宋_GB2312" w:cs="仿宋_GB2312"/>
          <w:b/>
          <w:bCs/>
          <w:color w:val="000000"/>
          <w:sz w:val="32"/>
          <w:szCs w:val="32"/>
        </w:rPr>
        <w:t>1</w:t>
      </w:r>
      <w:r>
        <w:rPr>
          <w:rFonts w:hint="eastAsia" w:ascii="仿宋_GB2312" w:hAnsi="仿宋_GB2312" w:eastAsia="仿宋_GB2312" w:cs="仿宋_GB2312"/>
          <w:b/>
          <w:bCs/>
          <w:color w:val="000000"/>
          <w:sz w:val="32"/>
          <w:szCs w:val="32"/>
          <w:lang w:val="en-US" w:eastAsia="zh-CN"/>
        </w:rPr>
        <w:t>.</w:t>
      </w:r>
      <w:r>
        <w:rPr>
          <w:rFonts w:hint="eastAsia" w:ascii="仿宋_GB2312" w:hAnsi="仿宋_GB2312" w:eastAsia="仿宋_GB2312" w:cs="仿宋_GB2312"/>
          <w:b/>
          <w:bCs/>
          <w:color w:val="000000"/>
          <w:sz w:val="32"/>
          <w:szCs w:val="32"/>
        </w:rPr>
        <w:t>用药思路</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outlineLvl w:val="0"/>
        <w:rPr>
          <w:rFonts w:ascii="仿宋_GB2312" w:hAnsi="宋体" w:eastAsia="仿宋_GB2312" w:cs="仿宋"/>
          <w:color w:val="000000"/>
          <w:sz w:val="32"/>
          <w:szCs w:val="32"/>
        </w:rPr>
      </w:pPr>
      <w:r>
        <w:rPr>
          <w:rFonts w:hint="eastAsia" w:ascii="仿宋_GB2312" w:hAnsi="宋体" w:eastAsia="仿宋_GB2312" w:cs="仿宋"/>
          <w:color w:val="000000"/>
          <w:sz w:val="32"/>
          <w:szCs w:val="32"/>
        </w:rPr>
        <w:t>一是明确不同阶段的防控主要作务，根据病虫害发生程度和对象，确定防治时间和防治对象。尽可能减少用药次数，水稻生长前期尽量少用药。二是虫害的防治实施达标防治，不打保险药。病害在发病初期用药，以预防为主。三是优先选择对天敌影响小的生物农药，在病虫害大发生时，选用高效、低毒、低残留、对天敌安全的应急防治药剂。</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outlineLvl w:val="0"/>
        <w:rPr>
          <w:rFonts w:hint="eastAsia" w:ascii="仿宋_GB2312" w:hAnsi="仿宋_GB2312" w:eastAsia="仿宋_GB2312" w:cs="仿宋_GB2312"/>
          <w:b/>
          <w:bCs/>
          <w:color w:val="000000"/>
          <w:sz w:val="32"/>
          <w:szCs w:val="32"/>
        </w:rPr>
      </w:pPr>
      <w:r>
        <w:rPr>
          <w:rFonts w:hint="eastAsia" w:ascii="仿宋_GB2312" w:hAnsi="仿宋_GB2312" w:eastAsia="仿宋_GB2312" w:cs="仿宋_GB2312"/>
          <w:b/>
          <w:bCs/>
          <w:color w:val="000000"/>
          <w:sz w:val="32"/>
          <w:szCs w:val="32"/>
        </w:rPr>
        <w:t>2</w:t>
      </w:r>
      <w:r>
        <w:rPr>
          <w:rFonts w:hint="eastAsia" w:ascii="仿宋_GB2312" w:hAnsi="仿宋_GB2312" w:eastAsia="仿宋_GB2312" w:cs="仿宋_GB2312"/>
          <w:b/>
          <w:bCs/>
          <w:color w:val="000000"/>
          <w:sz w:val="32"/>
          <w:szCs w:val="32"/>
          <w:lang w:val="en-US" w:eastAsia="zh-CN"/>
        </w:rPr>
        <w:t>.</w:t>
      </w:r>
      <w:r>
        <w:rPr>
          <w:rFonts w:hint="eastAsia" w:ascii="仿宋_GB2312" w:hAnsi="仿宋_GB2312" w:eastAsia="仿宋_GB2312" w:cs="仿宋_GB2312"/>
          <w:b/>
          <w:bCs/>
          <w:color w:val="000000"/>
          <w:sz w:val="32"/>
          <w:szCs w:val="32"/>
        </w:rPr>
        <w:t>种子处理和带药移栽</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outlineLvl w:val="0"/>
        <w:rPr>
          <w:rFonts w:ascii="仿宋_GB2312" w:hAnsi="宋体" w:eastAsia="仿宋_GB2312" w:cs="仿宋"/>
          <w:color w:val="000000"/>
          <w:sz w:val="32"/>
          <w:szCs w:val="32"/>
        </w:rPr>
      </w:pPr>
      <w:r>
        <w:rPr>
          <w:rFonts w:hint="eastAsia" w:ascii="仿宋_GB2312" w:hAnsi="宋体" w:eastAsia="仿宋_GB2312" w:cs="仿宋"/>
          <w:color w:val="000000"/>
          <w:sz w:val="32"/>
          <w:szCs w:val="32"/>
          <w:highlight w:val="none"/>
        </w:rPr>
        <w:t>选用32%戊唑醇.乙蒜素微乳剂加水稀释成800倍液</w:t>
      </w:r>
      <w:r>
        <w:rPr>
          <w:rFonts w:hint="eastAsia" w:ascii="仿宋_GB2312" w:hAnsi="宋体" w:eastAsia="仿宋_GB2312" w:cs="仿宋"/>
          <w:color w:val="000000"/>
          <w:sz w:val="32"/>
          <w:szCs w:val="32"/>
          <w:highlight w:val="none"/>
          <w:lang w:eastAsia="zh-CN"/>
        </w:rPr>
        <w:t>，</w:t>
      </w:r>
      <w:r>
        <w:rPr>
          <w:rFonts w:hint="eastAsia" w:ascii="仿宋_GB2312" w:hAnsi="宋体" w:eastAsia="仿宋_GB2312" w:cs="仿宋"/>
          <w:color w:val="000000"/>
          <w:sz w:val="32"/>
          <w:szCs w:val="32"/>
          <w:highlight w:val="none"/>
        </w:rPr>
        <w:t>浸种2</w:t>
      </w:r>
      <w:r>
        <w:rPr>
          <w:rFonts w:hint="eastAsia" w:ascii="仿宋_GB2312" w:hAnsi="宋体" w:eastAsia="仿宋_GB2312" w:cs="Times New Roman"/>
          <w:color w:val="000000"/>
          <w:sz w:val="32"/>
          <w:szCs w:val="32"/>
          <w:highlight w:val="none"/>
        </w:rPr>
        <w:t>～3天</w:t>
      </w:r>
      <w:r>
        <w:rPr>
          <w:rFonts w:hint="eastAsia" w:ascii="仿宋_GB2312" w:hAnsi="宋体" w:eastAsia="仿宋_GB2312" w:cs="Times New Roman"/>
          <w:color w:val="000000"/>
          <w:sz w:val="32"/>
          <w:szCs w:val="32"/>
          <w:highlight w:val="none"/>
          <w:lang w:val="en-US" w:eastAsia="zh-CN"/>
        </w:rPr>
        <w:t>后</w:t>
      </w:r>
      <w:r>
        <w:rPr>
          <w:rFonts w:hint="eastAsia" w:ascii="仿宋_GB2312" w:hAnsi="宋体" w:eastAsia="仿宋_GB2312" w:cs="Times New Roman"/>
          <w:color w:val="000000"/>
          <w:sz w:val="32"/>
          <w:szCs w:val="32"/>
          <w:highlight w:val="none"/>
        </w:rPr>
        <w:t>催芽播种。移</w:t>
      </w:r>
      <w:r>
        <w:rPr>
          <w:rFonts w:hint="eastAsia" w:ascii="仿宋_GB2312" w:hAnsi="宋体" w:eastAsia="仿宋_GB2312" w:cs="仿宋"/>
          <w:color w:val="000000"/>
          <w:sz w:val="32"/>
          <w:szCs w:val="32"/>
        </w:rPr>
        <w:t>栽稻秧苗移栽前2</w:t>
      </w:r>
      <w:r>
        <w:rPr>
          <w:rFonts w:hint="eastAsia" w:ascii="仿宋_GB2312" w:hAnsi="宋体" w:eastAsia="仿宋_GB2312" w:cs="Times New Roman"/>
          <w:color w:val="000000"/>
          <w:sz w:val="32"/>
          <w:szCs w:val="32"/>
        </w:rPr>
        <w:t>～3天施用内吸性药剂</w:t>
      </w:r>
      <w:r>
        <w:rPr>
          <w:rFonts w:hint="eastAsia" w:ascii="仿宋_GB2312" w:hAnsi="宋体" w:eastAsia="仿宋_GB2312" w:cs="仿宋"/>
          <w:color w:val="000000"/>
          <w:sz w:val="32"/>
          <w:szCs w:val="32"/>
        </w:rPr>
        <w:t>带药移栽，预防螟虫、稻飞虱及其传播的病毒病。</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outlineLvl w:val="0"/>
        <w:rPr>
          <w:rFonts w:ascii="仿宋_GB2312" w:hAnsi="宋体" w:eastAsia="仿宋_GB2312" w:cs="仿宋"/>
          <w:b/>
          <w:bCs/>
          <w:color w:val="000000"/>
          <w:sz w:val="32"/>
          <w:szCs w:val="32"/>
        </w:rPr>
      </w:pPr>
      <w:r>
        <w:rPr>
          <w:rFonts w:hint="eastAsia" w:ascii="仿宋_GB2312" w:hAnsi="宋体" w:eastAsia="仿宋_GB2312" w:cs="仿宋"/>
          <w:b/>
          <w:bCs/>
          <w:color w:val="000000"/>
          <w:sz w:val="32"/>
          <w:szCs w:val="32"/>
        </w:rPr>
        <w:t>3</w:t>
      </w:r>
      <w:r>
        <w:rPr>
          <w:rFonts w:hint="eastAsia" w:ascii="仿宋_GB2312" w:hAnsi="宋体" w:eastAsia="仿宋_GB2312" w:cs="仿宋"/>
          <w:b/>
          <w:bCs/>
          <w:color w:val="000000"/>
          <w:sz w:val="32"/>
          <w:szCs w:val="32"/>
          <w:lang w:val="en-US" w:eastAsia="zh-CN"/>
        </w:rPr>
        <w:t>.</w:t>
      </w:r>
      <w:r>
        <w:rPr>
          <w:rFonts w:hint="eastAsia" w:ascii="仿宋_GB2312" w:hAnsi="宋体" w:eastAsia="仿宋_GB2312" w:cs="仿宋"/>
          <w:b/>
          <w:bCs/>
          <w:color w:val="000000"/>
          <w:sz w:val="32"/>
          <w:szCs w:val="32"/>
        </w:rPr>
        <w:t>药剂防治</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jc w:val="both"/>
        <w:textAlignment w:val="auto"/>
        <w:rPr>
          <w:rFonts w:ascii="仿宋_GB2312" w:hAnsi="宋体" w:eastAsia="仿宋_GB2312" w:cs="Calibri"/>
          <w:color w:val="000000"/>
          <w:kern w:val="2"/>
          <w:sz w:val="32"/>
          <w:szCs w:val="32"/>
          <w:lang w:val="en-US" w:eastAsia="zh-CN" w:bidi="ar-SA"/>
        </w:rPr>
      </w:pPr>
      <w:r>
        <w:rPr>
          <w:rFonts w:hint="eastAsia" w:ascii="仿宋_GB2312" w:hAnsi="黑体" w:eastAsia="仿宋_GB2312" w:cs="仿宋"/>
          <w:color w:val="000000"/>
          <w:kern w:val="2"/>
          <w:sz w:val="32"/>
          <w:szCs w:val="32"/>
          <w:lang w:val="en-US" w:eastAsia="zh-CN" w:bidi="ar-SA"/>
        </w:rPr>
        <w:t>①</w:t>
      </w:r>
      <w:r>
        <w:rPr>
          <w:rFonts w:hint="eastAsia" w:ascii="仿宋_GB2312" w:hAnsi="宋体" w:eastAsia="仿宋_GB2312" w:cs="仿宋"/>
          <w:color w:val="000000"/>
          <w:kern w:val="2"/>
          <w:sz w:val="32"/>
          <w:szCs w:val="32"/>
          <w:lang w:val="en-US" w:eastAsia="zh-CN" w:bidi="ar-SA"/>
        </w:rPr>
        <w:t>核心示范区：选择</w:t>
      </w:r>
      <w:r>
        <w:rPr>
          <w:rFonts w:hint="eastAsia" w:ascii="仿宋_GB2312" w:hAnsi="宋体" w:eastAsia="仿宋_GB2312" w:cs="Calibri"/>
          <w:color w:val="000000"/>
          <w:kern w:val="2"/>
          <w:sz w:val="32"/>
          <w:szCs w:val="32"/>
          <w:lang w:val="en-US" w:eastAsia="zh-CN" w:bidi="ar-SA"/>
        </w:rPr>
        <w:t>有一定种植规模、有专职植保员、栽培管理水平较高、能开展统防统治的合作社或家庭农场。按照水稻重大病虫防治关键时间节点，根据病虫害实际发生情况合理用药防治，全年计划重大病虫防治3～4次，并根据病虫发生变化相应调整防治计划。</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jc w:val="both"/>
        <w:textAlignment w:val="auto"/>
        <w:rPr>
          <w:rFonts w:ascii="仿宋_GB2312" w:hAnsi="宋体" w:eastAsia="仿宋_GB2312" w:cs="Calibri"/>
          <w:color w:val="000000"/>
          <w:kern w:val="2"/>
          <w:sz w:val="32"/>
          <w:szCs w:val="32"/>
          <w:lang w:val="en-US" w:eastAsia="zh-CN" w:bidi="ar-SA"/>
        </w:rPr>
      </w:pPr>
      <w:r>
        <w:rPr>
          <w:rFonts w:hint="eastAsia" w:ascii="仿宋_GB2312" w:hAnsi="宋体" w:eastAsia="仿宋_GB2312" w:cs="Calibri"/>
          <w:color w:val="000000"/>
          <w:kern w:val="2"/>
          <w:sz w:val="32"/>
          <w:szCs w:val="32"/>
          <w:lang w:val="en-US" w:eastAsia="zh-CN" w:bidi="ar-SA"/>
        </w:rPr>
        <w:t>第一阶段：重点防治对象为纵卷叶螟、螟虫、纹枯病和飞虱，防控任务是压低基数、抑制本地病虫的发展，减轻后期防控压力。严格实行达标用药，不打保险药，防治时间尽可能后移。</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jc w:val="both"/>
        <w:textAlignment w:val="auto"/>
        <w:rPr>
          <w:rFonts w:ascii="仿宋_GB2312" w:hAnsi="宋体" w:eastAsia="仿宋_GB2312" w:cs="Calibri"/>
          <w:color w:val="000000"/>
          <w:kern w:val="2"/>
          <w:sz w:val="32"/>
          <w:szCs w:val="32"/>
          <w:lang w:val="en-US" w:eastAsia="zh-CN" w:bidi="ar-SA"/>
        </w:rPr>
      </w:pPr>
      <w:r>
        <w:rPr>
          <w:rFonts w:hint="eastAsia" w:ascii="仿宋_GB2312" w:hAnsi="宋体" w:eastAsia="仿宋_GB2312" w:cs="Calibri"/>
          <w:color w:val="000000"/>
          <w:kern w:val="2"/>
          <w:sz w:val="32"/>
          <w:szCs w:val="32"/>
          <w:lang w:val="en-US" w:eastAsia="zh-CN" w:bidi="ar-SA"/>
        </w:rPr>
        <w:t>第二阶段：重点对象为纹枯病、纵卷叶螟和稻飞虱，防控任务是控制其危害。虫害要选择持效期较长的药剂，病害要选择带有治疗作用的药剂。</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jc w:val="both"/>
        <w:textAlignment w:val="auto"/>
        <w:rPr>
          <w:rFonts w:ascii="仿宋_GB2312" w:hAnsi="宋体" w:eastAsia="仿宋_GB2312" w:cs="Calibri"/>
          <w:color w:val="000000"/>
          <w:kern w:val="2"/>
          <w:sz w:val="32"/>
          <w:szCs w:val="32"/>
          <w:lang w:val="en-US" w:eastAsia="zh-CN" w:bidi="ar-SA"/>
        </w:rPr>
      </w:pPr>
      <w:r>
        <w:rPr>
          <w:rFonts w:hint="eastAsia" w:ascii="仿宋_GB2312" w:hAnsi="宋体" w:eastAsia="仿宋_GB2312" w:cs="Calibri"/>
          <w:color w:val="000000"/>
          <w:kern w:val="2"/>
          <w:sz w:val="32"/>
          <w:szCs w:val="32"/>
          <w:lang w:val="en-US" w:eastAsia="zh-CN" w:bidi="ar-SA"/>
        </w:rPr>
        <w:t>第三阶段：防控任务是穗期保护用药，重点防控稻瘟病、纹枯病、稻曲病、穗腐病、纵卷叶螟、螟虫、稻飞虱等病虫。对于感稻瘟病的水稻品种，穗期需确保两次防治。</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jc w:val="both"/>
        <w:textAlignment w:val="auto"/>
        <w:rPr>
          <w:rFonts w:ascii="仿宋_GB2312" w:hAnsi="宋体" w:eastAsia="仿宋_GB2312" w:cs="Calibri"/>
          <w:color w:val="000000"/>
          <w:kern w:val="2"/>
          <w:sz w:val="32"/>
          <w:szCs w:val="32"/>
          <w:lang w:val="en-US" w:eastAsia="zh-CN" w:bidi="ar-SA"/>
        </w:rPr>
      </w:pPr>
      <w:r>
        <w:rPr>
          <w:rFonts w:hint="eastAsia" w:ascii="仿宋_GB2312" w:hAnsi="宋体" w:eastAsia="仿宋_GB2312" w:cs="Calibri"/>
          <w:color w:val="000000"/>
          <w:kern w:val="2"/>
          <w:sz w:val="32"/>
          <w:szCs w:val="32"/>
          <w:lang w:val="en-US" w:eastAsia="zh-CN" w:bidi="ar-SA"/>
        </w:rPr>
        <w:t>防治稻纵卷叶螟、螟虫可选用25%甲氧·茚虫威悬浮剂，或</w:t>
      </w:r>
      <w:r>
        <w:rPr>
          <w:rFonts w:hint="eastAsia" w:ascii="仿宋_GB2312" w:hAnsi="宋体" w:eastAsia="仿宋_GB2312" w:cs="宋体"/>
          <w:color w:val="000000"/>
          <w:kern w:val="2"/>
          <w:sz w:val="32"/>
          <w:szCs w:val="32"/>
          <w:lang w:val="en-US" w:eastAsia="zh-CN" w:bidi="ar-SA"/>
        </w:rPr>
        <w:t>16%甲维·茚虫威悬浮剂</w:t>
      </w:r>
      <w:r>
        <w:rPr>
          <w:rFonts w:hint="eastAsia" w:ascii="仿宋_GB2312" w:hAnsi="宋体" w:eastAsia="仿宋_GB2312" w:cs="Calibri"/>
          <w:color w:val="000000"/>
          <w:kern w:val="2"/>
          <w:sz w:val="32"/>
          <w:szCs w:val="32"/>
          <w:lang w:val="en-US" w:eastAsia="zh-CN" w:bidi="ar-SA"/>
        </w:rPr>
        <w:t>，或25%乙基多杀菌素水分散粒剂或20%氰虫·甲虫肼悬浮剂</w:t>
      </w:r>
      <w:r>
        <w:rPr>
          <w:rFonts w:hint="eastAsia" w:ascii="仿宋_GB2312" w:hAnsi="宋体" w:eastAsia="仿宋_GB2312" w:cs="宋体"/>
          <w:color w:val="000000"/>
          <w:kern w:val="2"/>
          <w:sz w:val="32"/>
          <w:szCs w:val="32"/>
          <w:lang w:val="en-US" w:eastAsia="zh-CN" w:bidi="ar-SA"/>
        </w:rPr>
        <w:t>等。防治</w:t>
      </w:r>
      <w:r>
        <w:rPr>
          <w:rFonts w:hint="eastAsia" w:ascii="仿宋_GB2312" w:hAnsi="宋体" w:eastAsia="仿宋_GB2312" w:cs="Calibri"/>
          <w:color w:val="000000"/>
          <w:kern w:val="2"/>
          <w:sz w:val="32"/>
          <w:szCs w:val="32"/>
          <w:lang w:val="en-US" w:eastAsia="zh-CN" w:bidi="ar-SA"/>
        </w:rPr>
        <w:t>稻飞虱可选用50%吡蚜酮可湿性粉剂。防治纹枯病可选用19%丙环·嘧菌酯悬浮剂，或240克/升噻呋酰胺悬浮剂，或75%戊唑·嘧菌酯水分散粒剂等。防治稻瘟病可选用9%吡唑醚菌酯微囊悬浮剂，或</w:t>
      </w:r>
      <w:r>
        <w:rPr>
          <w:rFonts w:hint="eastAsia" w:ascii="仿宋_GB2312" w:hAnsi="宋体" w:eastAsia="仿宋_GB2312" w:cs="宋体-18030"/>
          <w:color w:val="000000"/>
          <w:kern w:val="2"/>
          <w:sz w:val="32"/>
          <w:szCs w:val="32"/>
          <w:lang w:val="en-US" w:eastAsia="zh-CN" w:bidi="ar-SA"/>
        </w:rPr>
        <w:t>75%三环唑水分散粒剂</w:t>
      </w:r>
      <w:r>
        <w:rPr>
          <w:rFonts w:hint="eastAsia" w:ascii="仿宋_GB2312" w:hAnsi="宋体" w:eastAsia="仿宋_GB2312" w:cs="Calibri"/>
          <w:color w:val="000000"/>
          <w:kern w:val="2"/>
          <w:sz w:val="32"/>
          <w:szCs w:val="32"/>
          <w:lang w:val="en-US" w:eastAsia="zh-CN" w:bidi="ar-SA"/>
        </w:rPr>
        <w:t>，或75%肟菌酯·戊唑醇水分散粒剂等。防治稻曲病可选用75%肟菌酯·戊唑醇水分散粒剂等。</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outlineLvl w:val="0"/>
        <w:rPr>
          <w:rFonts w:ascii="仿宋_GB2312" w:hAnsi="宋体" w:eastAsia="仿宋_GB2312" w:cs="仿宋"/>
          <w:color w:val="000000"/>
          <w:sz w:val="32"/>
          <w:szCs w:val="32"/>
        </w:rPr>
      </w:pPr>
      <w:r>
        <w:rPr>
          <w:rFonts w:hint="eastAsia" w:ascii="仿宋_GB2312" w:hAnsi="黑体" w:eastAsia="仿宋_GB2312" w:cs="Times New Roman"/>
          <w:color w:val="000000"/>
          <w:sz w:val="32"/>
          <w:szCs w:val="32"/>
        </w:rPr>
        <w:t>②常规防治区：根据植保部门发布的病虫情报及时做好病虫防治。</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rPr>
          <w:rFonts w:ascii="仿宋_GB2312" w:hAnsi="宋体" w:eastAsia="仿宋_GB2312" w:cs="Times New Roman"/>
          <w:color w:val="000000"/>
          <w:sz w:val="32"/>
          <w:szCs w:val="32"/>
        </w:rPr>
      </w:pPr>
      <w:r>
        <w:rPr>
          <w:rFonts w:hint="eastAsia" w:ascii="仿宋_GB2312" w:hAnsi="宋体" w:eastAsia="仿宋_GB2312" w:cs="Times New Roman"/>
          <w:color w:val="000000"/>
          <w:sz w:val="32"/>
          <w:szCs w:val="32"/>
        </w:rPr>
        <w:t>稻纵卷叶螟、螟虫:掌握在卵孵盛期至1龄幼虫期防治</w:t>
      </w:r>
      <w:r>
        <w:rPr>
          <w:rFonts w:hint="eastAsia" w:ascii="仿宋_GB2312" w:hAnsi="微软雅黑" w:eastAsia="仿宋_GB2312" w:cs="宋体"/>
          <w:color w:val="000000"/>
          <w:kern w:val="0"/>
          <w:sz w:val="32"/>
          <w:szCs w:val="32"/>
        </w:rPr>
        <w:t>。药剂可选用</w:t>
      </w:r>
      <w:r>
        <w:rPr>
          <w:rFonts w:hint="eastAsia" w:ascii="仿宋_GB2312" w:hAnsi="宋体" w:eastAsia="仿宋_GB2312" w:cs="Times New Roman"/>
          <w:color w:val="000000"/>
          <w:sz w:val="32"/>
          <w:szCs w:val="32"/>
        </w:rPr>
        <w:t>16%甲维·茚虫威悬浮剂，或24%甲氧虫酰肼悬浮剂，或20%氰虫·甲虫肼悬浮剂，或30%茚虫威水分散粒剂，或32000IU/毫克苏云金杆菌可湿性粉剂，或10万0B/毫克·16000IU/毫克苏云·稻纵颗可湿性粉剂防治。</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rPr>
          <w:rFonts w:ascii="仿宋_GB2312" w:hAnsi="宋体" w:eastAsia="仿宋_GB2312" w:cs="Times New Roman"/>
          <w:color w:val="000000"/>
          <w:sz w:val="32"/>
          <w:szCs w:val="32"/>
        </w:rPr>
      </w:pPr>
      <w:r>
        <w:rPr>
          <w:rFonts w:hint="eastAsia" w:ascii="仿宋_GB2312" w:hAnsi="宋体" w:eastAsia="仿宋_GB2312" w:cs="Times New Roman"/>
          <w:color w:val="000000"/>
          <w:sz w:val="32"/>
          <w:szCs w:val="32"/>
        </w:rPr>
        <w:t>稻飞虱：掌握在低龄若虫期防治，</w:t>
      </w:r>
      <w:r>
        <w:rPr>
          <w:rFonts w:hint="eastAsia" w:ascii="仿宋_GB2312" w:hAnsi="宋体" w:eastAsia="仿宋_GB2312" w:cs="宋体"/>
          <w:color w:val="000000"/>
          <w:kern w:val="0"/>
          <w:sz w:val="32"/>
          <w:szCs w:val="32"/>
        </w:rPr>
        <w:t>做好“压三控四”、严防后期突发成灾。药剂</w:t>
      </w:r>
      <w:r>
        <w:rPr>
          <w:rFonts w:hint="eastAsia" w:ascii="仿宋_GB2312" w:hAnsi="宋体" w:eastAsia="仿宋_GB2312" w:cs="Times New Roman"/>
          <w:color w:val="000000"/>
          <w:sz w:val="32"/>
          <w:szCs w:val="32"/>
        </w:rPr>
        <w:t>可选用25%吡蚜酮可湿性粉剂，或50%吡蚜酮可湿性粉剂或25%</w:t>
      </w:r>
      <w:r>
        <w:rPr>
          <w:rFonts w:hint="eastAsia" w:ascii="仿宋_GB2312" w:hAnsi="宋体" w:eastAsia="仿宋_GB2312" w:cs="宋体"/>
          <w:color w:val="000000"/>
          <w:kern w:val="0"/>
          <w:sz w:val="32"/>
          <w:szCs w:val="32"/>
        </w:rPr>
        <w:t>噻虫嗪（防治白背飞虱）</w:t>
      </w:r>
      <w:r>
        <w:rPr>
          <w:rFonts w:hint="eastAsia" w:ascii="仿宋_GB2312" w:hAnsi="宋体" w:eastAsia="仿宋_GB2312" w:cs="Times New Roman"/>
          <w:color w:val="000000"/>
          <w:sz w:val="32"/>
          <w:szCs w:val="32"/>
        </w:rPr>
        <w:t>。在水稻前期防治时确保每亩用液量30～40公斤，后期应达到50～60公斤。药剂</w:t>
      </w:r>
      <w:r>
        <w:rPr>
          <w:rFonts w:hint="eastAsia" w:ascii="仿宋_GB2312" w:hAnsi="宋体" w:eastAsia="仿宋_GB2312" w:cs="宋体"/>
          <w:color w:val="000000"/>
          <w:kern w:val="0"/>
          <w:sz w:val="32"/>
          <w:szCs w:val="32"/>
        </w:rPr>
        <w:t>选择要根据不同时期和虫量合理搭配使用长效与速效药剂，轮换交替使用不同作用机理的药剂。</w:t>
      </w:r>
      <w:r>
        <w:rPr>
          <w:rFonts w:hint="eastAsia" w:ascii="仿宋_GB2312" w:hAnsi="宋体" w:eastAsia="仿宋_GB2312" w:cs="Times New Roman"/>
          <w:color w:val="000000"/>
          <w:sz w:val="32"/>
          <w:szCs w:val="32"/>
        </w:rPr>
        <w:t>绿色认证区域</w:t>
      </w:r>
      <w:r>
        <w:rPr>
          <w:rFonts w:hint="eastAsia" w:ascii="仿宋_GB2312" w:hAnsi="宋体" w:eastAsia="仿宋_GB2312" w:cs="Times New Roman"/>
          <w:color w:val="000000"/>
          <w:sz w:val="32"/>
          <w:szCs w:val="32"/>
          <w:lang w:val="en-US" w:eastAsia="zh-CN"/>
        </w:rPr>
        <w:t>不应</w:t>
      </w:r>
      <w:r>
        <w:rPr>
          <w:rFonts w:hint="eastAsia" w:ascii="仿宋_GB2312" w:hAnsi="宋体" w:eastAsia="仿宋_GB2312" w:cs="Times New Roman"/>
          <w:color w:val="000000"/>
          <w:sz w:val="32"/>
          <w:szCs w:val="32"/>
        </w:rPr>
        <w:t>使用60%烯啶虫胺可湿性粉剂或20%三氟苯嘧啶水分散剂。</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rPr>
          <w:rFonts w:ascii="仿宋_GB2312" w:hAnsi="宋体" w:eastAsia="仿宋_GB2312" w:cs="Times New Roman"/>
          <w:b/>
          <w:color w:val="000000"/>
          <w:sz w:val="32"/>
          <w:szCs w:val="32"/>
        </w:rPr>
      </w:pPr>
      <w:r>
        <w:rPr>
          <w:rFonts w:hint="eastAsia" w:ascii="仿宋_GB2312" w:hAnsi="宋体" w:eastAsia="仿宋_GB2312" w:cs="Times New Roman"/>
          <w:bCs/>
          <w:color w:val="000000"/>
          <w:sz w:val="32"/>
          <w:szCs w:val="32"/>
        </w:rPr>
        <w:t>稻瘟病：</w:t>
      </w:r>
      <w:r>
        <w:rPr>
          <w:rFonts w:hint="eastAsia" w:ascii="仿宋_GB2312" w:hAnsi="宋体" w:eastAsia="仿宋_GB2312" w:cs="仿宋"/>
          <w:color w:val="000000"/>
          <w:sz w:val="32"/>
          <w:szCs w:val="32"/>
        </w:rPr>
        <w:t>重点防控穗颈瘟，破口前3～5天施药预防，气候适宜病害流行时隔7天后第2次施药。药剂可选用75%三环唑可湿性粉剂</w:t>
      </w:r>
      <w:r>
        <w:rPr>
          <w:rFonts w:hint="eastAsia" w:ascii="仿宋_GB2312" w:hAnsi="宋体" w:eastAsia="仿宋_GB2312" w:cs="仿宋"/>
          <w:color w:val="000000"/>
          <w:sz w:val="32"/>
          <w:szCs w:val="32"/>
          <w:lang w:eastAsia="zh-CN"/>
        </w:rPr>
        <w:t>，</w:t>
      </w:r>
      <w:r>
        <w:rPr>
          <w:rFonts w:hint="eastAsia" w:ascii="仿宋_GB2312" w:hAnsi="宋体" w:eastAsia="仿宋_GB2312" w:cs="仿宋"/>
          <w:color w:val="000000"/>
          <w:sz w:val="32"/>
          <w:szCs w:val="32"/>
        </w:rPr>
        <w:t>或</w:t>
      </w:r>
      <w:r>
        <w:rPr>
          <w:rFonts w:hint="eastAsia" w:ascii="仿宋_GB2312" w:hAnsi="宋体" w:eastAsia="仿宋_GB2312" w:cs="Times New Roman"/>
          <w:color w:val="000000"/>
          <w:sz w:val="32"/>
          <w:szCs w:val="32"/>
        </w:rPr>
        <w:t>36%稻瘟灵·戊唑醇水乳剂。</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rPr>
          <w:rFonts w:ascii="仿宋_GB2312" w:hAnsi="宋体" w:eastAsia="仿宋_GB2312" w:cs="Times New Roman"/>
          <w:color w:val="000000"/>
          <w:sz w:val="32"/>
          <w:szCs w:val="32"/>
        </w:rPr>
      </w:pPr>
      <w:r>
        <w:rPr>
          <w:rFonts w:hint="eastAsia" w:ascii="仿宋_GB2312" w:hAnsi="宋体" w:eastAsia="仿宋_GB2312" w:cs="Times New Roman"/>
          <w:color w:val="000000"/>
          <w:sz w:val="32"/>
          <w:szCs w:val="32"/>
        </w:rPr>
        <w:t>水稻纹枯病：</w:t>
      </w:r>
      <w:r>
        <w:rPr>
          <w:rFonts w:hint="eastAsia" w:ascii="仿宋_GB2312" w:hAnsi="宋体" w:eastAsia="仿宋_GB2312" w:cs="仿宋"/>
          <w:color w:val="000000"/>
          <w:sz w:val="32"/>
          <w:szCs w:val="32"/>
        </w:rPr>
        <w:t>重点在分蘖末期至孕穗抽穗期</w:t>
      </w:r>
      <w:r>
        <w:rPr>
          <w:rFonts w:hint="eastAsia" w:ascii="仿宋_GB2312" w:hAnsi="宋体" w:eastAsia="仿宋_GB2312" w:cs="仿宋"/>
          <w:color w:val="000000"/>
          <w:sz w:val="32"/>
          <w:szCs w:val="32"/>
          <w:lang w:val="en-US" w:eastAsia="zh-CN"/>
        </w:rPr>
        <w:t>进行药剂防治</w:t>
      </w:r>
      <w:r>
        <w:rPr>
          <w:rFonts w:hint="eastAsia" w:ascii="仿宋_GB2312" w:hAnsi="宋体" w:eastAsia="仿宋_GB2312" w:cs="仿宋"/>
          <w:color w:val="000000"/>
          <w:sz w:val="32"/>
          <w:szCs w:val="32"/>
        </w:rPr>
        <w:t>，</w:t>
      </w:r>
      <w:r>
        <w:rPr>
          <w:rFonts w:hint="eastAsia" w:ascii="仿宋_GB2312" w:hAnsi="宋体" w:eastAsia="仿宋_GB2312" w:cs="Times New Roman"/>
          <w:color w:val="000000"/>
          <w:sz w:val="32"/>
          <w:szCs w:val="32"/>
          <w:lang w:val="en-US" w:eastAsia="zh-CN"/>
        </w:rPr>
        <w:t>按照</w:t>
      </w:r>
      <w:r>
        <w:rPr>
          <w:rFonts w:hint="eastAsia" w:ascii="仿宋_GB2312" w:hAnsi="宋体" w:eastAsia="仿宋_GB2312" w:cs="Times New Roman"/>
          <w:color w:val="000000"/>
          <w:sz w:val="32"/>
          <w:szCs w:val="32"/>
        </w:rPr>
        <w:t>预防为主的策略</w:t>
      </w:r>
      <w:r>
        <w:rPr>
          <w:rFonts w:hint="eastAsia" w:ascii="仿宋_GB2312" w:hAnsi="宋体" w:eastAsia="仿宋_GB2312" w:cs="Times New Roman"/>
          <w:color w:val="000000"/>
          <w:sz w:val="32"/>
          <w:szCs w:val="32"/>
          <w:lang w:eastAsia="zh-CN"/>
        </w:rPr>
        <w:t>，</w:t>
      </w:r>
      <w:r>
        <w:rPr>
          <w:rFonts w:hint="eastAsia" w:ascii="仿宋_GB2312" w:hAnsi="宋体" w:eastAsia="仿宋_GB2312" w:cs="Times New Roman"/>
          <w:color w:val="000000"/>
          <w:sz w:val="32"/>
          <w:szCs w:val="32"/>
        </w:rPr>
        <w:t>一般在水稻分蘖末期</w:t>
      </w:r>
      <w:r>
        <w:rPr>
          <w:rFonts w:hint="eastAsia" w:ascii="仿宋_GB2312" w:hAnsi="宋体" w:eastAsia="仿宋_GB2312" w:cs="Times New Roman"/>
          <w:color w:val="000000"/>
          <w:sz w:val="32"/>
          <w:szCs w:val="32"/>
          <w:lang w:val="en-US" w:eastAsia="zh-CN"/>
        </w:rPr>
        <w:t>开始</w:t>
      </w:r>
      <w:r>
        <w:rPr>
          <w:rFonts w:hint="eastAsia" w:ascii="仿宋_GB2312" w:hAnsi="宋体" w:eastAsia="仿宋_GB2312" w:cs="Times New Roman"/>
          <w:color w:val="000000"/>
          <w:sz w:val="32"/>
          <w:szCs w:val="32"/>
        </w:rPr>
        <w:t>用药。药剂可选用24%井冈霉素A水剂，或6%井冈·嘧苷素水剂，或50%戊唑·嘧菌酯悬浮剂，或75%戊唑·嘧菌酯可湿性粉剂，或240克/升噻呋酰胺悬浮剂等，对水50公斤喷雾。</w:t>
      </w:r>
      <w:r>
        <w:rPr>
          <w:rFonts w:hint="eastAsia" w:ascii="仿宋_GB2312" w:hAnsi="宋体" w:eastAsia="仿宋_GB2312" w:cs="Times New Roman"/>
          <w:color w:val="000000"/>
          <w:sz w:val="32"/>
          <w:szCs w:val="32"/>
          <w:lang w:val="en-US" w:eastAsia="zh-CN"/>
        </w:rPr>
        <w:t>之后</w:t>
      </w:r>
      <w:r>
        <w:rPr>
          <w:rFonts w:hint="eastAsia" w:ascii="仿宋_GB2312" w:hAnsi="宋体" w:eastAsia="仿宋_GB2312" w:cs="Times New Roman"/>
          <w:color w:val="000000"/>
          <w:sz w:val="32"/>
          <w:szCs w:val="32"/>
        </w:rPr>
        <w:t>每隔10天左右再喷雾一次，具体根据当时天气及病情发展趋势而定。</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rPr>
          <w:rFonts w:ascii="仿宋_GB2312" w:hAnsi="宋体" w:eastAsia="仿宋_GB2312" w:cs="宋体-18030"/>
          <w:color w:val="000000"/>
          <w:sz w:val="32"/>
          <w:szCs w:val="32"/>
        </w:rPr>
      </w:pPr>
      <w:r>
        <w:rPr>
          <w:rFonts w:hint="eastAsia" w:ascii="仿宋_GB2312" w:hAnsi="宋体" w:eastAsia="仿宋_GB2312" w:cs="仿宋"/>
          <w:bCs/>
          <w:color w:val="000000"/>
          <w:sz w:val="32"/>
          <w:szCs w:val="32"/>
        </w:rPr>
        <w:t>稻曲病、穗腐病</w:t>
      </w:r>
      <w:r>
        <w:rPr>
          <w:rFonts w:hint="eastAsia" w:ascii="仿宋_GB2312" w:hAnsi="宋体" w:eastAsia="仿宋_GB2312" w:cs="宋体-18030"/>
          <w:color w:val="000000"/>
          <w:sz w:val="32"/>
          <w:szCs w:val="32"/>
        </w:rPr>
        <w:t>：</w:t>
      </w:r>
      <w:r>
        <w:rPr>
          <w:rFonts w:hint="eastAsia" w:ascii="仿宋_GB2312" w:hAnsi="宋体" w:eastAsia="仿宋_GB2312" w:cs="仿宋"/>
          <w:color w:val="000000"/>
          <w:sz w:val="32"/>
          <w:szCs w:val="32"/>
        </w:rPr>
        <w:t>在水稻破口前7～10天（10%水稻剑叶叶枕与倒二叶叶枕齐平时）施药预防，</w:t>
      </w:r>
      <w:r>
        <w:rPr>
          <w:rFonts w:hint="eastAsia" w:ascii="仿宋_GB2312" w:hAnsi="微软雅黑" w:eastAsia="仿宋_GB2312" w:cs="宋体"/>
          <w:color w:val="000000"/>
          <w:kern w:val="0"/>
          <w:sz w:val="32"/>
          <w:szCs w:val="32"/>
        </w:rPr>
        <w:t>以穗腐病为重点防控对象的，在水稻破口初期用药。</w:t>
      </w:r>
      <w:r>
        <w:rPr>
          <w:rFonts w:hint="eastAsia" w:ascii="仿宋_GB2312" w:hAnsi="宋体" w:eastAsia="仿宋_GB2312" w:cs="仿宋"/>
          <w:color w:val="000000"/>
          <w:sz w:val="32"/>
          <w:szCs w:val="32"/>
        </w:rPr>
        <w:t>如遇多雨天气，7天后第2次施药。药剂可选用</w:t>
      </w:r>
      <w:r>
        <w:rPr>
          <w:rFonts w:hint="eastAsia" w:ascii="仿宋_GB2312" w:hAnsi="宋体" w:eastAsia="仿宋_GB2312" w:cs="Times New Roman"/>
          <w:color w:val="000000"/>
          <w:sz w:val="32"/>
          <w:szCs w:val="32"/>
        </w:rPr>
        <w:t>6%井冈·嘧苷素水剂，或24%井冈霉素A水剂，或50%戊唑醇·嘧菌酯</w:t>
      </w:r>
      <w:r>
        <w:rPr>
          <w:rFonts w:hint="eastAsia" w:ascii="仿宋_GB2312" w:hAnsi="宋体" w:eastAsia="仿宋_GB2312" w:cs="仿宋"/>
          <w:color w:val="000000"/>
          <w:sz w:val="32"/>
          <w:szCs w:val="32"/>
        </w:rPr>
        <w:t>，或</w:t>
      </w:r>
      <w:r>
        <w:rPr>
          <w:rFonts w:hint="eastAsia" w:ascii="仿宋_GB2312" w:hAnsi="宋体" w:eastAsia="仿宋_GB2312" w:cs="Times New Roman"/>
          <w:color w:val="000000"/>
          <w:sz w:val="32"/>
          <w:szCs w:val="32"/>
        </w:rPr>
        <w:t>75%肟菌·戊唑醇水分散粒剂</w:t>
      </w:r>
      <w:r>
        <w:rPr>
          <w:rFonts w:hint="eastAsia" w:ascii="仿宋_GB2312" w:hAnsi="宋体" w:eastAsia="仿宋_GB2312" w:cs="仿宋"/>
          <w:color w:val="000000"/>
          <w:sz w:val="32"/>
          <w:szCs w:val="32"/>
        </w:rPr>
        <w:t>。</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3"/>
        <w:textAlignment w:val="auto"/>
        <w:rPr>
          <w:rFonts w:hint="default" w:ascii="黑体" w:hAnsi="黑体" w:eastAsia="黑体" w:cs="黑体"/>
          <w:b w:val="0"/>
          <w:bCs/>
          <w:color w:val="000000"/>
          <w:sz w:val="32"/>
          <w:szCs w:val="32"/>
          <w:lang w:val="en-US" w:eastAsia="zh-CN"/>
        </w:rPr>
      </w:pPr>
      <w:r>
        <w:rPr>
          <w:rFonts w:hint="eastAsia" w:ascii="黑体" w:hAnsi="黑体" w:eastAsia="黑体" w:cs="黑体"/>
          <w:b w:val="0"/>
          <w:bCs/>
          <w:color w:val="000000"/>
          <w:sz w:val="32"/>
          <w:szCs w:val="32"/>
        </w:rPr>
        <w:t>五、</w:t>
      </w:r>
      <w:r>
        <w:rPr>
          <w:rFonts w:hint="eastAsia" w:ascii="黑体" w:hAnsi="黑体" w:eastAsia="黑体" w:cs="黑体"/>
          <w:b w:val="0"/>
          <w:bCs/>
          <w:color w:val="000000"/>
          <w:sz w:val="32"/>
          <w:szCs w:val="32"/>
          <w:lang w:val="en-US" w:eastAsia="zh-CN"/>
        </w:rPr>
        <w:t>注意事项</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3"/>
        <w:textAlignment w:val="auto"/>
        <w:rPr>
          <w:rFonts w:hint="eastAsia" w:ascii="仿宋_GB2312" w:hAnsi="仿宋_GB2312" w:eastAsia="仿宋_GB2312" w:cs="仿宋_GB2312"/>
          <w:b/>
          <w:color w:val="000000"/>
          <w:sz w:val="32"/>
          <w:szCs w:val="32"/>
        </w:rPr>
      </w:pPr>
      <w:r>
        <w:rPr>
          <w:rFonts w:hint="eastAsia" w:ascii="仿宋_GB2312" w:hAnsi="仿宋_GB2312" w:eastAsia="仿宋_GB2312" w:cs="仿宋_GB2312"/>
          <w:b/>
          <w:color w:val="000000"/>
          <w:sz w:val="32"/>
          <w:szCs w:val="32"/>
          <w:lang w:val="en-US" w:eastAsia="zh-CN"/>
        </w:rPr>
        <w:t>1.</w:t>
      </w:r>
      <w:r>
        <w:rPr>
          <w:rFonts w:hint="eastAsia" w:ascii="仿宋_GB2312" w:hAnsi="仿宋_GB2312" w:eastAsia="仿宋_GB2312" w:cs="仿宋_GB2312"/>
          <w:b/>
          <w:color w:val="000000"/>
          <w:sz w:val="32"/>
          <w:szCs w:val="32"/>
        </w:rPr>
        <w:t>参加绿色认证的单位用药次数和剂量需严格按照绿色认证标准使用。</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2.</w:t>
      </w:r>
      <w:r>
        <w:rPr>
          <w:rFonts w:hint="eastAsia" w:ascii="仿宋_GB2312" w:hAnsi="仿宋_GB2312" w:eastAsia="仿宋_GB2312" w:cs="仿宋_GB2312"/>
          <w:color w:val="000000"/>
          <w:sz w:val="32"/>
          <w:szCs w:val="32"/>
        </w:rPr>
        <w:t>核心示范区农田</w:t>
      </w:r>
      <w:r>
        <w:rPr>
          <w:rFonts w:hint="eastAsia" w:ascii="仿宋_GB2312" w:hAnsi="仿宋_GB2312" w:eastAsia="仿宋_GB2312" w:cs="仿宋_GB2312"/>
          <w:color w:val="000000"/>
          <w:sz w:val="32"/>
          <w:szCs w:val="32"/>
          <w:lang w:val="en-US" w:eastAsia="zh-CN"/>
        </w:rPr>
        <w:t>应</w:t>
      </w:r>
      <w:r>
        <w:rPr>
          <w:rFonts w:hint="eastAsia" w:ascii="仿宋_GB2312" w:hAnsi="仿宋_GB2312" w:eastAsia="仿宋_GB2312" w:cs="仿宋_GB2312"/>
          <w:color w:val="000000"/>
          <w:sz w:val="32"/>
          <w:szCs w:val="32"/>
        </w:rPr>
        <w:t>基础设施完善，有良好的保水和排灌功能；实施精细化机械作业，田块平整；田间管理水平良好，合理种植密度；防治时间和防治药剂要严格按照技术部门的意见执行。</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3.</w:t>
      </w:r>
      <w:r>
        <w:rPr>
          <w:rFonts w:hint="eastAsia" w:ascii="仿宋_GB2312" w:hAnsi="仿宋_GB2312" w:eastAsia="仿宋_GB2312" w:cs="仿宋_GB2312"/>
          <w:color w:val="000000"/>
          <w:sz w:val="32"/>
          <w:szCs w:val="32"/>
        </w:rPr>
        <w:t>要确保防治用水量和用药质量，施药时要确保细雾均匀喷施，不漏喷重喷,如施药后4小时内若遇阵雨，需及时做好补治。后期防治不提倡使用植保无人机防治，如需防治必须提高用液量。</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4.</w:t>
      </w:r>
      <w:r>
        <w:rPr>
          <w:rFonts w:hint="eastAsia" w:ascii="仿宋_GB2312" w:hAnsi="仿宋_GB2312" w:eastAsia="仿宋_GB2312" w:cs="仿宋_GB2312"/>
          <w:color w:val="000000"/>
          <w:sz w:val="32"/>
          <w:szCs w:val="32"/>
        </w:rPr>
        <w:t>视不同作用机理药剂合理轮用，避免一季多次使用同类型药剂。根据抗药性监测结果，避免使用已产生中等以上抗性的药剂。药剂防治过程中，严格执行农药使用操作规程，遵守农药安全间隔期，确保稻米质量安全。</w:t>
      </w:r>
    </w:p>
    <w:p>
      <w:pPr>
        <w:keepNext w:val="0"/>
        <w:keepLines w:val="0"/>
        <w:pageBreakBefore w:val="0"/>
        <w:widowControl w:val="0"/>
        <w:kinsoku/>
        <w:wordWrap/>
        <w:overflowPunct/>
        <w:topLinePunct w:val="0"/>
        <w:autoSpaceDE/>
        <w:autoSpaceDN/>
        <w:bidi w:val="0"/>
        <w:adjustRightInd w:val="0"/>
        <w:snapToGrid w:val="0"/>
        <w:spacing w:line="540" w:lineRule="exact"/>
        <w:ind w:left="0" w:firstLine="640"/>
        <w:textAlignment w:val="auto"/>
        <w:rPr>
          <w:rFonts w:hint="eastAsia"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lang w:val="en-US" w:eastAsia="zh-CN"/>
        </w:rPr>
        <w:t>5.</w:t>
      </w:r>
      <w:r>
        <w:rPr>
          <w:rFonts w:hint="eastAsia" w:ascii="仿宋_GB2312" w:hAnsi="仿宋_GB2312" w:eastAsia="仿宋_GB2312" w:cs="仿宋_GB2312"/>
          <w:color w:val="000000"/>
          <w:sz w:val="32"/>
          <w:szCs w:val="32"/>
        </w:rPr>
        <w:t>病虫害防控优先选择对天敌影响小的生物农药，化学药剂防治应达标用药，生物农药相对化学药剂要适当提前施用。稻虾、稻鱼、稻蟹等种养区及其邻近区域，应慎重使用药剂，避免对养殖造成损害。</w:t>
      </w:r>
    </w:p>
    <w:p>
      <w:pPr>
        <w:spacing w:line="560" w:lineRule="exact"/>
        <w:jc w:val="left"/>
        <w:rPr>
          <w:rFonts w:hint="default" w:ascii="仿宋_GB2312" w:hAnsi="仿宋_GB2312" w:eastAsia="仿宋_GB2312" w:cs="仿宋_GB2312"/>
          <w:snapToGrid w:val="0"/>
          <w:color w:val="000000"/>
          <w:sz w:val="32"/>
          <w:szCs w:val="32"/>
          <w:lang w:val="en-US" w:eastAsia="zh-CN"/>
        </w:rPr>
      </w:pPr>
    </w:p>
    <w:p/>
    <w:sectPr>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宋体-18030">
    <w:altName w:val="宋体"/>
    <w:panose1 w:val="00000000000000000000"/>
    <w:charset w:val="86"/>
    <w:family w:val="modern"/>
    <w:pitch w:val="default"/>
    <w:sig w:usb0="00000000" w:usb1="00000000" w:usb2="0000001E" w:usb3="00000000" w:csb0="003C0041" w:csb1="00000000"/>
  </w:font>
  <w:font w:name="微软雅黑">
    <w:panose1 w:val="020B0503020204020204"/>
    <w:charset w:val="86"/>
    <w:family w:val="swiss"/>
    <w:pitch w:val="default"/>
    <w:sig w:usb0="80000287" w:usb1="280F3C52" w:usb2="00000016" w:usb3="00000000" w:csb0="0004001F" w:csb1="00000000"/>
  </w:font>
  <w:font w:name="方正小标宋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2"/>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17E45475"/>
    <w:rsid w:val="1B7C0145"/>
    <w:rsid w:val="1E2339B8"/>
    <w:rsid w:val="3BE16DE7"/>
    <w:rsid w:val="447C4320"/>
    <w:rsid w:val="5F4B75ED"/>
    <w:rsid w:val="6D351BF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Body Text"/>
    <w:basedOn w:val="1"/>
    <w:next w:val="1"/>
    <w:qFormat/>
    <w:uiPriority w:val="0"/>
    <w:pPr>
      <w:spacing w:afterLines="0" w:afterAutospacing="0"/>
      <w:ind w:leftChars="0" w:firstLine="880" w:firstLineChars="200"/>
    </w:pPr>
    <w:rPr>
      <w:rFonts w:ascii="仿宋_GB2312" w:hAnsi="仿宋_GB2312" w:eastAsia="仿宋_GB2312" w:cs="Times New Roman"/>
      <w:sz w:val="32"/>
    </w:rPr>
  </w:style>
  <w:style w:type="table" w:customStyle="1" w:styleId="5">
    <w:name w:val="Table Normal"/>
    <w:semiHidden/>
    <w:unhideWhenUsed/>
    <w:qFormat/>
    <w:uiPriority w:val="0"/>
    <w:rPr>
      <w:rFonts w:ascii="Arial" w:hAnsi="Arial" w:cs="Arial"/>
      <w:kern w:val="0"/>
      <w:sz w:val="20"/>
      <w:szCs w:val="20"/>
    </w:rPr>
    <w:tblPr>
      <w:tblLayout w:type="fixed"/>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Kingsoft</Company>
  <Pages>31</Pages>
  <Words>14407</Words>
  <Characters>15328</Characters>
  <Lines>0</Lines>
  <Paragraphs>0</Paragraphs>
  <TotalTime>20</TotalTime>
  <ScaleCrop>false</ScaleCrop>
  <LinksUpToDate>false</LinksUpToDate>
  <CharactersWithSpaces>15369</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hp002</dc:creator>
  <cp:lastModifiedBy>hp002</cp:lastModifiedBy>
  <dcterms:modified xsi:type="dcterms:W3CDTF">2024-07-10T02:19:08Z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