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区建设管理委加强本区建设领域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今冬明春火灾防控工作方案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为有效防范和坚决遏制重特大火灾事故发生，确保冬春期间全区火灾形势稳定，根据区</w:t>
      </w:r>
      <w:r>
        <w:rPr>
          <w:rFonts w:hint="eastAsia" w:ascii="仿宋_GB2312" w:hAnsi="仿宋_GB2312" w:eastAsia="仿宋_GB2312" w:cs="仿宋_GB2312"/>
          <w:sz w:val="32"/>
          <w:szCs w:val="32"/>
        </w:rPr>
        <w:t>安委会办公室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印发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&lt;2022年崇明区今冬明春火灾防控工作方案&gt;</w:t>
      </w:r>
      <w:r>
        <w:rPr>
          <w:rFonts w:hint="eastAsia" w:ascii="仿宋_GB2312" w:hAnsi="仿宋_GB2312" w:eastAsia="仿宋_GB2312" w:cs="仿宋_GB2312"/>
          <w:sz w:val="32"/>
          <w:szCs w:val="32"/>
        </w:rPr>
        <w:t>的通知》（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沪崇</w:t>
      </w:r>
      <w:r>
        <w:rPr>
          <w:rFonts w:hint="eastAsia" w:ascii="仿宋_GB2312" w:hAnsi="仿宋_GB2312" w:eastAsia="仿宋_GB2312" w:cs="仿宋_GB2312"/>
          <w:sz w:val="32"/>
          <w:szCs w:val="32"/>
        </w:rPr>
        <w:t>安委办〔202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号）要求，决定从202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年12月至202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年3月底，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在本区建设领域</w:t>
      </w:r>
      <w:r>
        <w:rPr>
          <w:rFonts w:hint="eastAsia" w:ascii="仿宋_GB2312" w:hAnsi="仿宋_GB2312" w:eastAsia="仿宋_GB2312" w:cs="仿宋_GB2312"/>
          <w:sz w:val="32"/>
          <w:szCs w:val="32"/>
        </w:rPr>
        <w:t>集中组织开展冬春火灾防控工作。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一、工作目标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以习近平新时代中国特色社会主义思想为指导，全面贯彻党的二十大精神，深入</w:t>
      </w:r>
      <w:r>
        <w:rPr>
          <w:rFonts w:hint="eastAsia" w:ascii="仿宋_GB2312" w:hAnsi="仿宋_GB2312" w:eastAsia="仿宋_GB2312" w:cs="仿宋_GB2312"/>
          <w:sz w:val="32"/>
          <w:szCs w:val="32"/>
        </w:rPr>
        <w:t>贯彻习近平总书记关于安全生产重要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论述</w:t>
      </w:r>
      <w:r>
        <w:rPr>
          <w:rFonts w:hint="eastAsia" w:ascii="仿宋_GB2312" w:hAnsi="仿宋_GB2312" w:eastAsia="仿宋_GB2312" w:cs="仿宋_GB2312"/>
          <w:sz w:val="32"/>
          <w:szCs w:val="32"/>
        </w:rPr>
        <w:t>，坚持人民至上、生命至上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，持续落实国务院安委会“十五条硬措施”和本市“安全生产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78条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”“消防安全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55条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”以及区“安全生产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81条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科学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统筹发展和安全，围绕全国“两会”、本市“两会”、本区“两会”等重大活动以及元旦、春节、元宵等重要节日，聚焦重点领域、重要场所和不放心区域，精准防范、分类施策、综合治理，有效防范化解重大消防安全风险，最大限度减少亡人火灾，坚决遏制较大以上火灾事故发生，全力确保城乡运行安全和消防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二、组织领导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为确保实现冬春火灾防控工作目标，区建设管理</w:t>
      </w:r>
      <w:r>
        <w:rPr>
          <w:rFonts w:hint="eastAsia" w:ascii="仿宋_GB2312" w:hAnsi="仿宋_GB2312" w:eastAsia="仿宋_GB2312" w:cs="仿宋_GB2312"/>
          <w:sz w:val="32"/>
          <w:szCs w:val="32"/>
        </w:rPr>
        <w:t>委成立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以主要领导任组长，各分管领导任副组长，各科室和委属各单位主要负责人为成员的冬春</w:t>
      </w:r>
      <w:r>
        <w:rPr>
          <w:rFonts w:hint="eastAsia" w:ascii="仿宋_GB2312" w:hAnsi="仿宋_GB2312" w:eastAsia="仿宋_GB2312" w:cs="仿宋_GB2312"/>
          <w:sz w:val="32"/>
          <w:szCs w:val="32"/>
        </w:rPr>
        <w:t>火灾防控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领导</w:t>
      </w:r>
      <w:r>
        <w:rPr>
          <w:rFonts w:hint="eastAsia" w:ascii="仿宋_GB2312" w:hAnsi="仿宋_GB2312" w:eastAsia="仿宋_GB2312" w:cs="仿宋_GB2312"/>
          <w:sz w:val="32"/>
          <w:szCs w:val="32"/>
        </w:rPr>
        <w:t>小组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。领导小组下设办公室，办公室设在建设监管科，具体负责日常牵头协调管理工作。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、重点任务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（一）统筹做好重大活动重要节日消防安全工作。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</w:rPr>
        <w:t>压实重大活动消防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安保</w:t>
      </w:r>
      <w:r>
        <w:rPr>
          <w:rFonts w:hint="eastAsia" w:ascii="仿宋_GB2312" w:hAnsi="仿宋_GB2312" w:eastAsia="仿宋_GB2312" w:cs="仿宋_GB2312"/>
          <w:sz w:val="32"/>
          <w:szCs w:val="32"/>
        </w:rPr>
        <w:t>责任。202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年全国“两会”、上海“两会”和本区“两会”等重大活动期间，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各科室、</w:t>
      </w:r>
      <w:r>
        <w:rPr>
          <w:rFonts w:hint="eastAsia" w:ascii="仿宋_GB2312" w:hAnsi="仿宋_GB2312" w:eastAsia="仿宋_GB2312" w:cs="仿宋_GB2312"/>
          <w:sz w:val="32"/>
          <w:szCs w:val="32"/>
        </w:rPr>
        <w:t>各单位要树牢“一盘棋”思想，提高火灾防范等级，严格落实安保措施，聚焦重点区域、重要场所、火灾多发易发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部位</w:t>
      </w:r>
      <w:r>
        <w:rPr>
          <w:rFonts w:hint="eastAsia" w:ascii="仿宋_GB2312" w:hAnsi="仿宋_GB2312" w:eastAsia="仿宋_GB2312" w:cs="仿宋_GB2312"/>
          <w:sz w:val="32"/>
          <w:szCs w:val="32"/>
        </w:rPr>
        <w:t>，加强巡防巡控，压实责任措施，筑牢安全屏障。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落实重要节日安全防范措施。针对元旦、春节、元宵节等重要节日特点，要加大排查整治力度，组织开展领导带队检查，广泛开展提示性、警示性消防宣传。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二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开展建筑施工消防安全整治。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一是对我区在监在建工地开展</w:t>
      </w:r>
      <w:r>
        <w:rPr>
          <w:rFonts w:hint="eastAsia" w:ascii="仿宋_GB2312" w:hAnsi="仿宋_GB2312" w:eastAsia="仿宋_GB2312" w:cs="仿宋_GB2312"/>
          <w:sz w:val="32"/>
          <w:szCs w:val="32"/>
        </w:rPr>
        <w:t>消防隐患排查治理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，重点检查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各参建单位消防安全责任制、</w:t>
      </w:r>
      <w:r>
        <w:rPr>
          <w:rFonts w:hint="eastAsia" w:ascii="仿宋_GB2312" w:hAnsi="仿宋_GB2312" w:eastAsia="仿宋_GB2312" w:cs="仿宋_GB2312"/>
          <w:sz w:val="32"/>
          <w:szCs w:val="32"/>
        </w:rPr>
        <w:t>节假日期间治安防火值班制度等各项安全生产制度及落实情况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施工现场消防器材、消防设施的配备和消防通道的设置情况；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施工现场是否开展电气火灾防控综合治理，临时用电是否规范等方面的情况。二是加强消防安全宣传教育和培训，切实加强对施工现场一线作业人员，特别是电工、焊工等特种作业人员的消防安全知识培训，进一步提高安全意识和自防自救的能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（三）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配合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高层建筑消防安全综合整治。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根据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各乡镇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消防安全自查自纠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情况、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问题隐患和整改责任“两个清单”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，配合消防、房管、公安等部门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涉及我委职责范围内的情况进行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抽查核对，推动责任主体落实整改，对难以整改的，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安委办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专题研究解决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（四）保障城镇燃气消防安全。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一是组织对辖区内燃气经营企业及其燃气设施开展消防安全检查，重点检查企业消防安全主体责任落实、燃气设施安全保护和消防安全隐患整改情况。对于违章占压燃气管道、第三方施工影响燃气管道安全等行为，要予以及时制止和处理。二是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使用燃气的各类餐饮企业，特别是位于大型商业综合体、学校企业食堂等重点场所的，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确保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可燃气体报警装置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安装到位。三是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通过多种方式积极开展冬季燃气安全用气宣传活动，进一步增强各类用户安全用气意识。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（五）深化厂房、仓库建设工程消防审验专项整治行动。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根据《关于印发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&lt;崇明区厂房、仓库建设工程消防审验专项整治工作方案&gt;的通知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》（沪崇建管〔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78号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），加强对整治范围的厂房、仓库项目的消防设计审查验收工作力度，针对发现的违法违规行为将从严从重处罚。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（六）保障城市综管、地下空间消防安全。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是督促运维单位加强路灯线路、控制箱接地保护及门板（锁）等设施的检查；督促各单位加强户外广告等各类亮化设施、照明灯具、供电线路、控制设备及防雷、防漏电接地等装置的定期检查和维护工作；二是督促地下空间权属单位严格落实火灾防控措施，对违法违规行为做到及时发现、及时纠正、坚决处置，严防群死群伤火灾事故的发生，确保地下空间运行安全平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三、时间步骤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（一）部署发动阶段（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即日起至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28</w:t>
      </w:r>
      <w:r>
        <w:rPr>
          <w:rFonts w:hint="eastAsia" w:ascii="仿宋_GB2312" w:hAnsi="仿宋_GB2312" w:eastAsia="仿宋_GB2312" w:cs="仿宋_GB2312"/>
          <w:sz w:val="32"/>
          <w:szCs w:val="32"/>
        </w:rPr>
        <w:t>日）。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制定下发冬春火灾防控工作方案，明确职责，细化措施，广泛动员，部署到位。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（二）组织实施阶段（202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年3月25日）。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各科室、各单位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对照工作方案，精心组织实施，定期研判调度，加强检查督导，从严从细从实抓好责任措施落实。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（三）总结验收阶段（202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年3月26日至3月31日）。组织检查验收，认真总结工作，固化经验做法，健全完善消防安全风险分级管控和隐患排查双重预防机制。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（一）加强组织领导。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各科室、</w:t>
      </w:r>
      <w:r>
        <w:rPr>
          <w:rFonts w:hint="eastAsia" w:ascii="仿宋_GB2312" w:hAnsi="仿宋_GB2312" w:eastAsia="仿宋_GB2312" w:cs="仿宋_GB2312"/>
          <w:sz w:val="32"/>
          <w:szCs w:val="32"/>
        </w:rPr>
        <w:t>各单位要进一步树牢安全发展理念，强化风险意识，坚持底线思维，层层抓好冬春火灾防控工作组织实施。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深刻认识做好冬春火灾防控工作的重要意义，切实担负起防范化解重大安全风险的政治责任，定期研究冬春火灾防控工作，协调解决重大问题，确保各项工作落实落细、取得实效。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二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）严格监管执法。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各科室、</w:t>
      </w:r>
      <w:r>
        <w:rPr>
          <w:rFonts w:hint="eastAsia" w:ascii="仿宋_GB2312" w:hAnsi="仿宋_GB2312" w:eastAsia="仿宋_GB2312" w:cs="仿宋_GB2312"/>
          <w:sz w:val="32"/>
          <w:szCs w:val="32"/>
        </w:rPr>
        <w:t>各单位要加大监督检查力度，突出精准执法，对高风险领域和单位场所要实现全覆盖。对发现的违法行为和火灾隐患，依法采取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行政措施，落实闭环管理。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）严肃督导问责。</w:t>
      </w:r>
      <w:r>
        <w:rPr>
          <w:rFonts w:hint="eastAsia" w:ascii="仿宋_GB2312" w:hAnsi="仿宋_GB2312" w:eastAsia="仿宋_GB2312" w:cs="仿宋_GB2312"/>
          <w:sz w:val="32"/>
          <w:szCs w:val="32"/>
        </w:rPr>
        <w:t>冬春火灾防控工作将纳入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年度安全生产和消防工作考核内容，对工作不落实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发生较大及以上亡人火灾事故的，依法依规从严追究有关单位和人员的责任。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（四）加强信息报送。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科室、各单位要落实专人开展情况报送工作，对管辖范围内发生的任何一起火灾安全事故，实行“一事一报”。上报事故情况时应包括事故基本情况、涉及人数、已采取的处置措施、研判可能存在的风险隐患等。2022年12月起每月23日前报送当月冬春火灾防控工作情况统计表（附件1）、重大火灾风险隐患清单（附件2）和工作推进情况；2023年3月25日前报送工作总结。（联系人：原卓群；联系方式：69614970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附件：1.冬春火灾防控工作情况统计表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2.重大火灾风险隐患清单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sectPr>
          <w:footerReference r:id="rId3" w:type="default"/>
          <w:pgSz w:w="11900" w:h="16840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冬春火灾防控工作情况统计表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outlineLvl w:val="9"/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  <w:t>填报单位：                                                      填报日期：</w:t>
      </w:r>
    </w:p>
    <w:tbl>
      <w:tblPr>
        <w:tblStyle w:val="8"/>
        <w:tblW w:w="1398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6"/>
        <w:gridCol w:w="1476"/>
        <w:gridCol w:w="1212"/>
        <w:gridCol w:w="1548"/>
        <w:gridCol w:w="1224"/>
        <w:gridCol w:w="1452"/>
        <w:gridCol w:w="1008"/>
        <w:gridCol w:w="1560"/>
        <w:gridCol w:w="948"/>
        <w:gridCol w:w="1104"/>
        <w:gridCol w:w="12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78" w:hRule="atLeast"/>
          <w:jc w:val="center"/>
        </w:trPr>
        <w:tc>
          <w:tcPr>
            <w:tcW w:w="391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组织排查整治情况</w:t>
            </w:r>
          </w:p>
        </w:tc>
        <w:tc>
          <w:tcPr>
            <w:tcW w:w="277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隐患排查情况</w:t>
            </w:r>
          </w:p>
        </w:tc>
        <w:tc>
          <w:tcPr>
            <w:tcW w:w="7301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实施处罚情况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1554" w:hRule="atLeast"/>
          <w:jc w:val="center"/>
        </w:trPr>
        <w:tc>
          <w:tcPr>
            <w:tcW w:w="12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组织检查组（个）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参加检查人员（人次）</w:t>
            </w:r>
          </w:p>
        </w:tc>
        <w:tc>
          <w:tcPr>
            <w:tcW w:w="121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检查单位（家次）</w:t>
            </w:r>
          </w:p>
        </w:tc>
        <w:tc>
          <w:tcPr>
            <w:tcW w:w="15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发现火灾隐患或违法行为（处）</w:t>
            </w:r>
          </w:p>
        </w:tc>
        <w:tc>
          <w:tcPr>
            <w:tcW w:w="12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重大火灾风险隐患（处）</w:t>
            </w:r>
          </w:p>
        </w:tc>
        <w:tc>
          <w:tcPr>
            <w:tcW w:w="145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督改火灾隐患或违法行为（处）</w:t>
            </w:r>
          </w:p>
        </w:tc>
        <w:tc>
          <w:tcPr>
            <w:tcW w:w="10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公开曝光（家）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责令“三停”单位（家）</w:t>
            </w:r>
          </w:p>
        </w:tc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临时查封单位（家）</w:t>
            </w:r>
          </w:p>
        </w:tc>
        <w:tc>
          <w:tcPr>
            <w:tcW w:w="11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行政处罚单位（家）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处罚罚款（万元）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2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21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4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22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5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0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6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22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outlineLvl w:val="9"/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  <w:t>填报人：                                                       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重大火灾风险隐患清单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tbl>
      <w:tblPr>
        <w:tblStyle w:val="8"/>
        <w:tblW w:w="141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0"/>
        <w:gridCol w:w="2232"/>
        <w:gridCol w:w="2520"/>
        <w:gridCol w:w="3084"/>
        <w:gridCol w:w="1680"/>
        <w:gridCol w:w="2148"/>
        <w:gridCol w:w="16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</w:trPr>
        <w:tc>
          <w:tcPr>
            <w:tcW w:w="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2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单位（企业）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隐患（问题）内容</w:t>
            </w:r>
          </w:p>
        </w:tc>
        <w:tc>
          <w:tcPr>
            <w:tcW w:w="30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整改措施、整改要求</w:t>
            </w: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整改时限</w:t>
            </w: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整改完成情况</w:t>
            </w:r>
          </w:p>
        </w:tc>
        <w:tc>
          <w:tcPr>
            <w:tcW w:w="16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整改责任人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2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6840" w:h="11900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ngXian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DengXian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DengXian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8F7424"/>
    <w:rsid w:val="01CA444E"/>
    <w:rsid w:val="058F7424"/>
    <w:rsid w:val="0B134F6F"/>
    <w:rsid w:val="13DA3C84"/>
    <w:rsid w:val="20492506"/>
    <w:rsid w:val="21297FCC"/>
    <w:rsid w:val="21FE6CAB"/>
    <w:rsid w:val="220F3C2E"/>
    <w:rsid w:val="232410C8"/>
    <w:rsid w:val="250F384E"/>
    <w:rsid w:val="26FE08F9"/>
    <w:rsid w:val="29123AE7"/>
    <w:rsid w:val="29372D59"/>
    <w:rsid w:val="2EC85C8E"/>
    <w:rsid w:val="35A40095"/>
    <w:rsid w:val="362E2FD5"/>
    <w:rsid w:val="36830701"/>
    <w:rsid w:val="38A375B2"/>
    <w:rsid w:val="39C90E5F"/>
    <w:rsid w:val="3C7B170D"/>
    <w:rsid w:val="41DA13C1"/>
    <w:rsid w:val="455B644B"/>
    <w:rsid w:val="481E5FF2"/>
    <w:rsid w:val="4F4567CF"/>
    <w:rsid w:val="503E3A61"/>
    <w:rsid w:val="556D6F77"/>
    <w:rsid w:val="55903051"/>
    <w:rsid w:val="576253B2"/>
    <w:rsid w:val="59F13AB2"/>
    <w:rsid w:val="5C516766"/>
    <w:rsid w:val="5FB91A21"/>
    <w:rsid w:val="6B3A773D"/>
    <w:rsid w:val="6BAF53D7"/>
    <w:rsid w:val="6E6029F6"/>
    <w:rsid w:val="6F400112"/>
    <w:rsid w:val="6F93497B"/>
    <w:rsid w:val="75DB73F2"/>
    <w:rsid w:val="7743605B"/>
    <w:rsid w:val="7A1D200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DengXian" w:hAnsi="DengXian" w:eastAsia="DengXian" w:cs="Times New Roman"/>
      <w:kern w:val="2"/>
      <w:sz w:val="24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napToGrid w:val="0"/>
      <w:spacing w:line="360" w:lineRule="auto"/>
      <w:ind w:firstLine="560" w:firstLineChars="200"/>
    </w:pPr>
    <w:rPr>
      <w:sz w:val="28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上海市崇明区建设和管理委员会</Company>
  <Pages>1</Pages>
  <Words>0</Words>
  <Characters>0</Characters>
  <Lines>0</Lines>
  <Paragraphs>0</Paragraphs>
  <TotalTime>30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2021-12-22T01:57:00Z</dcterms:created>
  <dc:creator>Administrator</dc:creator>
  <cp:lastModifiedBy>Administrator</cp:lastModifiedBy>
  <cp:lastPrinted>2021-12-24T07:08:00Z</cp:lastPrinted>
  <dcterms:modified xsi:type="dcterms:W3CDTF">2023-01-03T05:54:56Z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