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keepNext w:val="0"/>
        <w:keepLines w:val="0"/>
        <w:pageBreakBefore w:val="0"/>
        <w:kinsoku/>
        <w:wordWrap/>
        <w:overflowPunct/>
        <w:topLinePunct w:val="0"/>
        <w:bidi w:val="0"/>
        <w:snapToGrid/>
        <w:spacing w:before="0" w:beforeAutospacing="0" w:after="0" w:afterAutospacing="0" w:line="560" w:lineRule="exact"/>
        <w:textAlignment w:val="auto"/>
        <w:outlineLvl w:val="9"/>
        <w:rPr>
          <w:rFonts w:hint="eastAsia" w:ascii="仿宋_GB2312" w:hAnsi="ˎ̥" w:eastAsia="仿宋_GB2312"/>
          <w:color w:val="202020"/>
          <w:sz w:val="32"/>
          <w:szCs w:val="32"/>
        </w:rPr>
      </w:pPr>
      <w:bookmarkStart w:id="0" w:name="_GoBack"/>
      <w:bookmarkEnd w:id="0"/>
      <w:r>
        <w:rPr>
          <w:rFonts w:hint="eastAsia" w:ascii="仿宋_GB2312" w:hAnsi="ˎ̥" w:eastAsia="仿宋_GB2312"/>
          <w:color w:val="202020"/>
          <w:sz w:val="32"/>
          <w:szCs w:val="32"/>
        </w:rPr>
        <w:t>附件：</w:t>
      </w:r>
    </w:p>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黑体" w:hAnsi="黑体" w:eastAsia="黑体" w:cs="黑体"/>
          <w:color w:val="202020"/>
          <w:sz w:val="36"/>
          <w:szCs w:val="36"/>
        </w:rPr>
      </w:pPr>
      <w:r>
        <w:rPr>
          <w:rFonts w:hint="eastAsia" w:ascii="黑体" w:hAnsi="黑体" w:eastAsia="黑体" w:cs="黑体"/>
          <w:color w:val="202020"/>
          <w:sz w:val="36"/>
          <w:szCs w:val="36"/>
        </w:rPr>
        <w:t>新海镇安全生产工作管理责任分工安排表</w:t>
      </w:r>
    </w:p>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黑体" w:hAnsi="黑体" w:eastAsia="黑体" w:cs="黑体"/>
          <w:color w:val="202020"/>
          <w:sz w:val="32"/>
          <w:szCs w:val="32"/>
        </w:rPr>
      </w:pPr>
    </w:p>
    <w:tbl>
      <w:tblPr>
        <w:tblStyle w:val="9"/>
        <w:tblW w:w="9641" w:type="dxa"/>
        <w:tblInd w:w="-33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5"/>
        <w:gridCol w:w="1317"/>
        <w:gridCol w:w="5440"/>
        <w:gridCol w:w="1241"/>
        <w:gridCol w:w="11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525" w:type="dxa"/>
            <w:vAlign w:val="center"/>
          </w:tcPr>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b/>
                <w:bCs/>
                <w:color w:val="202020"/>
                <w:sz w:val="24"/>
                <w:szCs w:val="24"/>
              </w:rPr>
            </w:pPr>
            <w:r>
              <w:rPr>
                <w:rFonts w:hint="eastAsia" w:ascii="仿宋_GB2312" w:hAnsi="ˎ̥" w:eastAsia="仿宋_GB2312"/>
                <w:b/>
                <w:bCs/>
                <w:color w:val="202020"/>
                <w:sz w:val="24"/>
                <w:szCs w:val="24"/>
              </w:rPr>
              <w:t>序号</w:t>
            </w:r>
          </w:p>
        </w:tc>
        <w:tc>
          <w:tcPr>
            <w:tcW w:w="1317" w:type="dxa"/>
            <w:vAlign w:val="center"/>
          </w:tcPr>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b/>
                <w:bCs/>
                <w:color w:val="202020"/>
                <w:sz w:val="24"/>
                <w:szCs w:val="24"/>
              </w:rPr>
            </w:pPr>
            <w:r>
              <w:rPr>
                <w:rFonts w:hint="eastAsia" w:ascii="仿宋_GB2312" w:hAnsi="ˎ̥" w:eastAsia="仿宋_GB2312"/>
                <w:b/>
                <w:bCs/>
                <w:color w:val="202020"/>
                <w:sz w:val="24"/>
                <w:szCs w:val="24"/>
              </w:rPr>
              <w:t>分管领导</w:t>
            </w:r>
          </w:p>
        </w:tc>
        <w:tc>
          <w:tcPr>
            <w:tcW w:w="5440" w:type="dxa"/>
            <w:vAlign w:val="center"/>
          </w:tcPr>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b/>
                <w:bCs/>
                <w:color w:val="202020"/>
                <w:sz w:val="24"/>
                <w:szCs w:val="24"/>
              </w:rPr>
            </w:pPr>
            <w:r>
              <w:rPr>
                <w:rFonts w:hint="eastAsia" w:ascii="仿宋_GB2312" w:hAnsi="ˎ̥" w:eastAsia="仿宋_GB2312"/>
                <w:b/>
                <w:bCs/>
                <w:color w:val="202020"/>
                <w:sz w:val="24"/>
                <w:szCs w:val="24"/>
              </w:rPr>
              <w:t>安全工作管理内容</w:t>
            </w:r>
          </w:p>
        </w:tc>
        <w:tc>
          <w:tcPr>
            <w:tcW w:w="1241" w:type="dxa"/>
            <w:vAlign w:val="center"/>
          </w:tcPr>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b/>
                <w:bCs/>
                <w:color w:val="202020"/>
                <w:sz w:val="24"/>
                <w:szCs w:val="24"/>
              </w:rPr>
            </w:pPr>
            <w:r>
              <w:rPr>
                <w:rFonts w:hint="eastAsia" w:ascii="仿宋_GB2312" w:hAnsi="ˎ̥" w:eastAsia="仿宋_GB2312"/>
                <w:b/>
                <w:bCs/>
                <w:color w:val="202020"/>
                <w:sz w:val="24"/>
                <w:szCs w:val="24"/>
              </w:rPr>
              <w:t>责任部门</w:t>
            </w:r>
          </w:p>
        </w:tc>
        <w:tc>
          <w:tcPr>
            <w:tcW w:w="1118" w:type="dxa"/>
            <w:vAlign w:val="center"/>
          </w:tcPr>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b/>
                <w:bCs/>
                <w:color w:val="202020"/>
                <w:sz w:val="24"/>
                <w:szCs w:val="24"/>
              </w:rPr>
            </w:pPr>
            <w:r>
              <w:rPr>
                <w:rFonts w:hint="eastAsia" w:ascii="仿宋_GB2312" w:hAnsi="ˎ̥" w:eastAsia="仿宋_GB2312"/>
                <w:b/>
                <w:bCs/>
                <w:color w:val="20202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25" w:type="dxa"/>
            <w:vAlign w:val="center"/>
          </w:tcPr>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ascii="仿宋_GB2312" w:hAnsi="ˎ̥" w:eastAsia="仿宋_GB2312"/>
                <w:color w:val="202020"/>
                <w:sz w:val="24"/>
                <w:szCs w:val="24"/>
              </w:rPr>
            </w:pPr>
            <w:r>
              <w:rPr>
                <w:rFonts w:hint="eastAsia" w:ascii="仿宋_GB2312" w:hAnsi="ˎ̥" w:eastAsia="仿宋_GB2312"/>
                <w:color w:val="202020"/>
                <w:sz w:val="24"/>
                <w:szCs w:val="24"/>
              </w:rPr>
              <w:t>1</w:t>
            </w:r>
          </w:p>
        </w:tc>
        <w:tc>
          <w:tcPr>
            <w:tcW w:w="1317" w:type="dxa"/>
            <w:vAlign w:val="center"/>
          </w:tcPr>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范杰</w:t>
            </w:r>
          </w:p>
        </w:tc>
        <w:tc>
          <w:tcPr>
            <w:tcW w:w="5440" w:type="dxa"/>
            <w:vAlign w:val="top"/>
          </w:tcPr>
          <w:p>
            <w:pPr>
              <w:pStyle w:val="6"/>
              <w:keepNext w:val="0"/>
              <w:keepLines w:val="0"/>
              <w:pageBreakBefore w:val="0"/>
              <w:numPr>
                <w:ilvl w:val="0"/>
                <w:numId w:val="1"/>
              </w:numPr>
              <w:kinsoku/>
              <w:wordWrap/>
              <w:overflowPunct/>
              <w:topLinePunct w:val="0"/>
              <w:bidi w:val="0"/>
              <w:snapToGrid/>
              <w:spacing w:before="0" w:beforeAutospacing="0" w:after="0" w:afterAutospacing="0" w:line="560" w:lineRule="exact"/>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道路交通安全管理工作；</w:t>
            </w:r>
          </w:p>
          <w:p>
            <w:pPr>
              <w:pStyle w:val="6"/>
              <w:keepNext w:val="0"/>
              <w:keepLines w:val="0"/>
              <w:pageBreakBefore w:val="0"/>
              <w:numPr>
                <w:ilvl w:val="0"/>
                <w:numId w:val="1"/>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hint="eastAsia" w:ascii="仿宋_GB2312" w:hAnsi="ˎ̥" w:eastAsia="仿宋_GB2312"/>
                <w:color w:val="202020"/>
                <w:sz w:val="24"/>
                <w:szCs w:val="24"/>
              </w:rPr>
              <w:t>民用爆炸物品、烟花爆竹的公共安全监管；</w:t>
            </w:r>
          </w:p>
          <w:p>
            <w:pPr>
              <w:pStyle w:val="6"/>
              <w:keepNext w:val="0"/>
              <w:keepLines w:val="0"/>
              <w:pageBreakBefore w:val="0"/>
              <w:numPr>
                <w:ilvl w:val="0"/>
                <w:numId w:val="1"/>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hint="eastAsia" w:ascii="仿宋_GB2312" w:hAnsi="ˎ̥" w:eastAsia="仿宋_GB2312"/>
                <w:color w:val="202020"/>
                <w:sz w:val="24"/>
                <w:szCs w:val="24"/>
              </w:rPr>
              <w:t>公共聚集场所和大型群众性活动的安全监管；</w:t>
            </w:r>
          </w:p>
          <w:p>
            <w:pPr>
              <w:pStyle w:val="6"/>
              <w:keepNext w:val="0"/>
              <w:keepLines w:val="0"/>
              <w:pageBreakBefore w:val="0"/>
              <w:numPr>
                <w:ilvl w:val="0"/>
                <w:numId w:val="1"/>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hint="eastAsia" w:ascii="仿宋_GB2312" w:hAnsi="ˎ̥" w:eastAsia="仿宋_GB2312"/>
                <w:color w:val="202020"/>
                <w:sz w:val="24"/>
                <w:szCs w:val="24"/>
              </w:rPr>
              <w:t>调查处理道路交通事故、调查火灾事故，依法查处涉及安全生产的刑事案件；</w:t>
            </w:r>
          </w:p>
          <w:p>
            <w:pPr>
              <w:pStyle w:val="6"/>
              <w:keepNext w:val="0"/>
              <w:keepLines w:val="0"/>
              <w:pageBreakBefore w:val="0"/>
              <w:numPr>
                <w:ilvl w:val="0"/>
                <w:numId w:val="1"/>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hint="eastAsia" w:ascii="仿宋_GB2312" w:hAnsi="ˎ̥" w:eastAsia="仿宋_GB2312"/>
                <w:color w:val="202020"/>
                <w:sz w:val="24"/>
                <w:szCs w:val="24"/>
              </w:rPr>
              <w:t>负责将安全生产法律法规纳入全民普法的重要内容。</w:t>
            </w:r>
          </w:p>
        </w:tc>
        <w:tc>
          <w:tcPr>
            <w:tcW w:w="1241" w:type="dxa"/>
            <w:vAlign w:val="center"/>
          </w:tcPr>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稳定办</w:t>
            </w:r>
          </w:p>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派出所</w:t>
            </w:r>
          </w:p>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司法所</w:t>
            </w:r>
          </w:p>
        </w:tc>
        <w:tc>
          <w:tcPr>
            <w:tcW w:w="1118" w:type="dxa"/>
            <w:vAlign w:val="top"/>
          </w:tcPr>
          <w:p>
            <w:pPr>
              <w:pStyle w:val="6"/>
              <w:keepNext w:val="0"/>
              <w:keepLines w:val="0"/>
              <w:pageBreakBefore w:val="0"/>
              <w:kinsoku/>
              <w:wordWrap/>
              <w:overflowPunct/>
              <w:topLinePunct w:val="0"/>
              <w:bidi w:val="0"/>
              <w:snapToGrid/>
              <w:spacing w:before="0" w:beforeAutospacing="0" w:after="0" w:afterAutospacing="0" w:line="560" w:lineRule="exact"/>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1.镇辖区内消防执法主体是派出所。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25" w:type="dxa"/>
            <w:vAlign w:val="center"/>
          </w:tcPr>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ascii="仿宋_GB2312" w:hAnsi="ˎ̥" w:eastAsia="仿宋_GB2312"/>
                <w:color w:val="202020"/>
                <w:sz w:val="24"/>
                <w:szCs w:val="24"/>
              </w:rPr>
            </w:pPr>
            <w:r>
              <w:rPr>
                <w:rFonts w:hint="eastAsia" w:ascii="仿宋_GB2312" w:hAnsi="ˎ̥" w:eastAsia="仿宋_GB2312"/>
                <w:color w:val="202020"/>
                <w:sz w:val="24"/>
                <w:szCs w:val="24"/>
              </w:rPr>
              <w:t>2</w:t>
            </w:r>
          </w:p>
        </w:tc>
        <w:tc>
          <w:tcPr>
            <w:tcW w:w="1317" w:type="dxa"/>
            <w:vAlign w:val="center"/>
          </w:tcPr>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陈斌</w:t>
            </w:r>
          </w:p>
        </w:tc>
        <w:tc>
          <w:tcPr>
            <w:tcW w:w="5440" w:type="dxa"/>
            <w:vAlign w:val="top"/>
          </w:tcPr>
          <w:p>
            <w:pPr>
              <w:pStyle w:val="6"/>
              <w:keepNext w:val="0"/>
              <w:keepLines w:val="0"/>
              <w:pageBreakBefore w:val="0"/>
              <w:numPr>
                <w:ilvl w:val="0"/>
                <w:numId w:val="2"/>
              </w:numPr>
              <w:kinsoku/>
              <w:wordWrap/>
              <w:overflowPunct/>
              <w:topLinePunct w:val="0"/>
              <w:bidi w:val="0"/>
              <w:snapToGrid/>
              <w:spacing w:before="0" w:beforeAutospacing="0" w:after="0" w:afterAutospacing="0" w:line="560" w:lineRule="exact"/>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负责对消防工作实施监督管理，开展火灾预防和扑救工作及应急抢险救援工作；</w:t>
            </w:r>
          </w:p>
          <w:p>
            <w:pPr>
              <w:pStyle w:val="6"/>
              <w:keepNext w:val="0"/>
              <w:keepLines w:val="0"/>
              <w:pageBreakBefore w:val="0"/>
              <w:numPr>
                <w:ilvl w:val="0"/>
                <w:numId w:val="2"/>
              </w:numPr>
              <w:kinsoku/>
              <w:wordWrap/>
              <w:overflowPunct/>
              <w:topLinePunct w:val="0"/>
              <w:bidi w:val="0"/>
              <w:snapToGrid/>
              <w:spacing w:before="0" w:beforeAutospacing="0" w:after="0" w:afterAutospacing="0" w:line="560" w:lineRule="exact"/>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安全生产宣传教育工作；</w:t>
            </w:r>
          </w:p>
          <w:p>
            <w:pPr>
              <w:pStyle w:val="6"/>
              <w:keepNext w:val="0"/>
              <w:keepLines w:val="0"/>
              <w:pageBreakBefore w:val="0"/>
              <w:numPr>
                <w:ilvl w:val="0"/>
                <w:numId w:val="2"/>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ascii="仿宋_GB2312" w:hAnsi="ˎ̥" w:eastAsia="仿宋_GB2312"/>
                <w:color w:val="202020"/>
                <w:sz w:val="24"/>
                <w:szCs w:val="24"/>
              </w:rPr>
              <w:t xml:space="preserve">生产经营单位安全生产工作；                          </w:t>
            </w:r>
          </w:p>
          <w:p>
            <w:pPr>
              <w:pStyle w:val="6"/>
              <w:keepNext w:val="0"/>
              <w:keepLines w:val="0"/>
              <w:pageBreakBefore w:val="0"/>
              <w:numPr>
                <w:ilvl w:val="0"/>
                <w:numId w:val="2"/>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ascii="仿宋_GB2312" w:hAnsi="ˎ̥" w:eastAsia="仿宋_GB2312"/>
                <w:color w:val="202020"/>
                <w:sz w:val="24"/>
                <w:szCs w:val="24"/>
              </w:rPr>
              <w:t xml:space="preserve">指导、协调、监督有关部门、单位履行危险化学品安全监督管理责任；对发现的违法行为予以查处；                          </w:t>
            </w:r>
          </w:p>
          <w:p>
            <w:pPr>
              <w:pStyle w:val="6"/>
              <w:keepNext w:val="0"/>
              <w:keepLines w:val="0"/>
              <w:pageBreakBefore w:val="0"/>
              <w:numPr>
                <w:ilvl w:val="0"/>
                <w:numId w:val="2"/>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ascii="仿宋_GB2312" w:hAnsi="ˎ̥" w:eastAsia="仿宋_GB2312"/>
                <w:color w:val="202020"/>
                <w:sz w:val="24"/>
                <w:szCs w:val="24"/>
              </w:rPr>
              <w:t xml:space="preserve">组织、指导、协调安全生产应急救援工作； </w:t>
            </w:r>
          </w:p>
          <w:p>
            <w:pPr>
              <w:pStyle w:val="6"/>
              <w:keepNext w:val="0"/>
              <w:keepLines w:val="0"/>
              <w:pageBreakBefore w:val="0"/>
              <w:numPr>
                <w:ilvl w:val="0"/>
                <w:numId w:val="2"/>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ascii="仿宋_GB2312" w:hAnsi="ˎ̥" w:eastAsia="仿宋_GB2312"/>
                <w:color w:val="202020"/>
                <w:sz w:val="24"/>
                <w:szCs w:val="24"/>
              </w:rPr>
              <w:t xml:space="preserve">指导并监督职责范围内的特种作业安全；                                     </w:t>
            </w:r>
          </w:p>
          <w:p>
            <w:pPr>
              <w:pStyle w:val="6"/>
              <w:keepNext w:val="0"/>
              <w:keepLines w:val="0"/>
              <w:pageBreakBefore w:val="0"/>
              <w:numPr>
                <w:ilvl w:val="0"/>
                <w:numId w:val="2"/>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ascii="仿宋_GB2312" w:hAnsi="ˎ̥" w:eastAsia="仿宋_GB2312"/>
                <w:color w:val="202020"/>
                <w:sz w:val="24"/>
                <w:szCs w:val="24"/>
              </w:rPr>
              <w:t>管理本辖区生产安全事故统计报告；</w:t>
            </w:r>
          </w:p>
          <w:p>
            <w:pPr>
              <w:pStyle w:val="6"/>
              <w:keepNext w:val="0"/>
              <w:keepLines w:val="0"/>
              <w:pageBreakBefore w:val="0"/>
              <w:numPr>
                <w:ilvl w:val="0"/>
                <w:numId w:val="2"/>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ascii="仿宋_GB2312" w:hAnsi="ˎ̥" w:eastAsia="仿宋_GB2312"/>
                <w:color w:val="202020"/>
                <w:sz w:val="24"/>
                <w:szCs w:val="24"/>
              </w:rPr>
              <w:t>农业各产业安全生产工作</w:t>
            </w:r>
            <w:r>
              <w:rPr>
                <w:rFonts w:hint="eastAsia" w:ascii="仿宋_GB2312" w:hAnsi="ˎ̥" w:eastAsia="仿宋_GB2312"/>
                <w:color w:val="202020"/>
                <w:sz w:val="24"/>
                <w:szCs w:val="24"/>
              </w:rPr>
              <w:t>；</w:t>
            </w:r>
            <w:r>
              <w:rPr>
                <w:rFonts w:ascii="仿宋_GB2312" w:hAnsi="ˎ̥" w:eastAsia="仿宋_GB2312"/>
                <w:color w:val="202020"/>
                <w:sz w:val="24"/>
                <w:szCs w:val="24"/>
              </w:rPr>
              <w:t xml:space="preserve">             </w:t>
            </w:r>
          </w:p>
          <w:p>
            <w:pPr>
              <w:pStyle w:val="6"/>
              <w:keepNext w:val="0"/>
              <w:keepLines w:val="0"/>
              <w:pageBreakBefore w:val="0"/>
              <w:numPr>
                <w:ilvl w:val="0"/>
                <w:numId w:val="2"/>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ascii="仿宋_GB2312" w:hAnsi="ˎ̥" w:eastAsia="仿宋_GB2312"/>
                <w:color w:val="202020"/>
                <w:sz w:val="24"/>
                <w:szCs w:val="24"/>
              </w:rPr>
              <w:t xml:space="preserve">农药销售、使用等环节、森林防火、渔业安全、农业机械安全的监督管理；                          </w:t>
            </w:r>
          </w:p>
          <w:p>
            <w:pPr>
              <w:pStyle w:val="6"/>
              <w:keepNext w:val="0"/>
              <w:keepLines w:val="0"/>
              <w:pageBreakBefore w:val="0"/>
              <w:numPr>
                <w:ilvl w:val="0"/>
                <w:numId w:val="2"/>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ascii="仿宋_GB2312" w:hAnsi="ˎ̥" w:eastAsia="仿宋_GB2312"/>
                <w:color w:val="202020"/>
                <w:sz w:val="24"/>
                <w:szCs w:val="24"/>
              </w:rPr>
              <w:t>拖拉机（含变型拖拉机）、联合收割机等农业机械的登记、备案</w:t>
            </w:r>
            <w:r>
              <w:rPr>
                <w:rFonts w:hint="eastAsia" w:ascii="仿宋_GB2312" w:hAnsi="ˎ̥" w:eastAsia="仿宋_GB2312"/>
                <w:color w:val="202020"/>
                <w:sz w:val="24"/>
                <w:szCs w:val="24"/>
              </w:rPr>
              <w:t>；</w:t>
            </w:r>
          </w:p>
          <w:p>
            <w:pPr>
              <w:pStyle w:val="6"/>
              <w:keepNext w:val="0"/>
              <w:keepLines w:val="0"/>
              <w:pageBreakBefore w:val="0"/>
              <w:numPr>
                <w:ilvl w:val="0"/>
                <w:numId w:val="2"/>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hint="eastAsia" w:ascii="仿宋_GB2312" w:hAnsi="ˎ̥" w:eastAsia="仿宋_GB2312"/>
                <w:color w:val="202020"/>
                <w:sz w:val="24"/>
                <w:szCs w:val="24"/>
              </w:rPr>
              <w:t>负责人防设施的安全监管。</w:t>
            </w:r>
            <w:r>
              <w:rPr>
                <w:rFonts w:ascii="仿宋_GB2312" w:hAnsi="ˎ̥" w:eastAsia="仿宋_GB2312"/>
                <w:color w:val="202020"/>
                <w:sz w:val="24"/>
                <w:szCs w:val="24"/>
              </w:rPr>
              <w:t xml:space="preserve">                                                </w:t>
            </w:r>
          </w:p>
        </w:tc>
        <w:tc>
          <w:tcPr>
            <w:tcW w:w="1241" w:type="dxa"/>
            <w:vAlign w:val="center"/>
          </w:tcPr>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经济办</w:t>
            </w:r>
          </w:p>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武装部</w:t>
            </w:r>
          </w:p>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安管所</w:t>
            </w:r>
          </w:p>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农技中心</w:t>
            </w:r>
          </w:p>
        </w:tc>
        <w:tc>
          <w:tcPr>
            <w:tcW w:w="1118" w:type="dxa"/>
            <w:vAlign w:val="center"/>
          </w:tcPr>
          <w:p>
            <w:pPr>
              <w:pStyle w:val="6"/>
              <w:keepNext w:val="0"/>
              <w:keepLines w:val="0"/>
              <w:pageBreakBefore w:val="0"/>
              <w:numPr>
                <w:ilvl w:val="0"/>
                <w:numId w:val="3"/>
              </w:numPr>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参加区安委办召开的安全生产、消防工作会议；</w:t>
            </w:r>
          </w:p>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p>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p>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p>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p>
          <w:p>
            <w:pPr>
              <w:pStyle w:val="6"/>
              <w:keepNext w:val="0"/>
              <w:keepLines w:val="0"/>
              <w:pageBreakBefore w:val="0"/>
              <w:numPr>
                <w:ilvl w:val="0"/>
                <w:numId w:val="3"/>
              </w:numPr>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种养业搭建的田间窝棚管理主体是各居委会</w:t>
            </w:r>
          </w:p>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25" w:type="dxa"/>
            <w:vAlign w:val="center"/>
          </w:tcPr>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ascii="仿宋_GB2312" w:hAnsi="ˎ̥" w:eastAsia="仿宋_GB2312"/>
                <w:color w:val="202020"/>
                <w:sz w:val="24"/>
                <w:szCs w:val="24"/>
              </w:rPr>
            </w:pPr>
            <w:r>
              <w:rPr>
                <w:rFonts w:hint="eastAsia" w:ascii="仿宋_GB2312" w:hAnsi="ˎ̥" w:eastAsia="仿宋_GB2312"/>
                <w:color w:val="202020"/>
                <w:sz w:val="24"/>
                <w:szCs w:val="24"/>
              </w:rPr>
              <w:t>3</w:t>
            </w:r>
          </w:p>
        </w:tc>
        <w:tc>
          <w:tcPr>
            <w:tcW w:w="1317" w:type="dxa"/>
            <w:vAlign w:val="center"/>
          </w:tcPr>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叶红城</w:t>
            </w:r>
          </w:p>
        </w:tc>
        <w:tc>
          <w:tcPr>
            <w:tcW w:w="5440" w:type="dxa"/>
            <w:vAlign w:val="top"/>
          </w:tcPr>
          <w:p>
            <w:pPr>
              <w:pStyle w:val="6"/>
              <w:keepNext w:val="0"/>
              <w:keepLines w:val="0"/>
              <w:pageBreakBefore w:val="0"/>
              <w:numPr>
                <w:ilvl w:val="0"/>
                <w:numId w:val="4"/>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hint="eastAsia" w:ascii="仿宋_GB2312" w:hAnsi="ˎ̥" w:eastAsia="仿宋_GB2312"/>
                <w:color w:val="202020"/>
                <w:sz w:val="24"/>
                <w:szCs w:val="24"/>
              </w:rPr>
              <w:t xml:space="preserve">建筑行业安全生产监督管理；           </w:t>
            </w:r>
          </w:p>
          <w:p>
            <w:pPr>
              <w:pStyle w:val="6"/>
              <w:keepNext w:val="0"/>
              <w:keepLines w:val="0"/>
              <w:pageBreakBefore w:val="0"/>
              <w:numPr>
                <w:ilvl w:val="0"/>
                <w:numId w:val="4"/>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hint="eastAsia" w:ascii="仿宋_GB2312" w:hAnsi="ˎ̥" w:eastAsia="仿宋_GB2312"/>
                <w:color w:val="202020"/>
                <w:sz w:val="24"/>
                <w:szCs w:val="24"/>
              </w:rPr>
              <w:t xml:space="preserve">除城市道路、桥梁、照明、环境卫生设施以外的市政公用设施安全和应急管理；城市供水、排水、燃气、地下空间等市政公用设施建设安全和应急管理；                          </w:t>
            </w:r>
          </w:p>
          <w:p>
            <w:pPr>
              <w:pStyle w:val="6"/>
              <w:keepNext w:val="0"/>
              <w:keepLines w:val="0"/>
              <w:pageBreakBefore w:val="0"/>
              <w:numPr>
                <w:ilvl w:val="0"/>
                <w:numId w:val="4"/>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hint="eastAsia" w:ascii="仿宋_GB2312" w:hAnsi="ˎ̥" w:eastAsia="仿宋_GB2312"/>
                <w:color w:val="202020"/>
                <w:sz w:val="24"/>
                <w:szCs w:val="24"/>
              </w:rPr>
              <w:t xml:space="preserve">市政基础设施拆除、开挖活动、危旧房改造、旧住宅区综合整治的安全监管；                        </w:t>
            </w:r>
          </w:p>
          <w:p>
            <w:pPr>
              <w:pStyle w:val="6"/>
              <w:keepNext w:val="0"/>
              <w:keepLines w:val="0"/>
              <w:pageBreakBefore w:val="0"/>
              <w:numPr>
                <w:ilvl w:val="0"/>
                <w:numId w:val="4"/>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hint="eastAsia" w:ascii="仿宋_GB2312" w:hAnsi="ˎ̥" w:eastAsia="仿宋_GB2312"/>
                <w:color w:val="202020"/>
                <w:sz w:val="24"/>
                <w:szCs w:val="24"/>
              </w:rPr>
              <w:t xml:space="preserve">建设工程、市政基础设施、化工等高危行业的用地规划管理；                     </w:t>
            </w:r>
          </w:p>
          <w:p>
            <w:pPr>
              <w:pStyle w:val="6"/>
              <w:keepNext w:val="0"/>
              <w:keepLines w:val="0"/>
              <w:pageBreakBefore w:val="0"/>
              <w:numPr>
                <w:ilvl w:val="0"/>
                <w:numId w:val="4"/>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hint="eastAsia" w:ascii="仿宋_GB2312" w:hAnsi="ˎ̥" w:eastAsia="仿宋_GB2312"/>
                <w:color w:val="202020"/>
                <w:sz w:val="24"/>
                <w:szCs w:val="24"/>
              </w:rPr>
              <w:t xml:space="preserve">市政管线及附属设施、市政环境、户外广告、霓虹灯、农贸市场、城市容貌等方面的安全监督管理；  </w:t>
            </w:r>
          </w:p>
          <w:p>
            <w:pPr>
              <w:pStyle w:val="6"/>
              <w:keepNext w:val="0"/>
              <w:keepLines w:val="0"/>
              <w:pageBreakBefore w:val="0"/>
              <w:numPr>
                <w:ilvl w:val="0"/>
                <w:numId w:val="4"/>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hint="eastAsia" w:ascii="仿宋_GB2312" w:hAnsi="ˎ̥" w:eastAsia="仿宋_GB2312"/>
                <w:color w:val="202020"/>
                <w:sz w:val="24"/>
                <w:szCs w:val="24"/>
              </w:rPr>
              <w:t xml:space="preserve">环境污染防治的监督管理；                          </w:t>
            </w:r>
          </w:p>
          <w:p>
            <w:pPr>
              <w:pStyle w:val="6"/>
              <w:keepNext w:val="0"/>
              <w:keepLines w:val="0"/>
              <w:pageBreakBefore w:val="0"/>
              <w:numPr>
                <w:ilvl w:val="0"/>
                <w:numId w:val="4"/>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hint="eastAsia" w:ascii="仿宋_GB2312" w:hAnsi="ˎ̥" w:eastAsia="仿宋_GB2312"/>
                <w:color w:val="202020"/>
                <w:sz w:val="24"/>
                <w:szCs w:val="24"/>
              </w:rPr>
              <w:t xml:space="preserve">施工运输车辆的安全管理；                        </w:t>
            </w:r>
          </w:p>
          <w:p>
            <w:pPr>
              <w:pStyle w:val="6"/>
              <w:keepNext w:val="0"/>
              <w:keepLines w:val="0"/>
              <w:pageBreakBefore w:val="0"/>
              <w:numPr>
                <w:ilvl w:val="0"/>
                <w:numId w:val="4"/>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hint="eastAsia" w:ascii="仿宋_GB2312" w:hAnsi="ˎ̥" w:eastAsia="仿宋_GB2312"/>
                <w:color w:val="202020"/>
                <w:sz w:val="24"/>
                <w:szCs w:val="24"/>
              </w:rPr>
              <w:t xml:space="preserve">拆除不符合城市规划和市容标准违法建筑的安全管理。                  </w:t>
            </w:r>
          </w:p>
        </w:tc>
        <w:tc>
          <w:tcPr>
            <w:tcW w:w="1241" w:type="dxa"/>
            <w:vAlign w:val="center"/>
          </w:tcPr>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规保办</w:t>
            </w:r>
          </w:p>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规建所</w:t>
            </w:r>
          </w:p>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网格中心</w:t>
            </w:r>
          </w:p>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城管中心</w:t>
            </w:r>
          </w:p>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市容所</w:t>
            </w:r>
          </w:p>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ascii="仿宋_GB2312" w:hAnsi="ˎ̥" w:eastAsia="仿宋_GB2312"/>
                <w:color w:val="202020"/>
                <w:sz w:val="24"/>
                <w:szCs w:val="24"/>
              </w:rPr>
            </w:pPr>
          </w:p>
        </w:tc>
        <w:tc>
          <w:tcPr>
            <w:tcW w:w="1118" w:type="dxa"/>
            <w:vAlign w:val="top"/>
          </w:tcPr>
          <w:p>
            <w:pPr>
              <w:pStyle w:val="6"/>
              <w:keepNext w:val="0"/>
              <w:keepLines w:val="0"/>
              <w:pageBreakBefore w:val="0"/>
              <w:kinsoku/>
              <w:wordWrap/>
              <w:overflowPunct/>
              <w:topLinePunct w:val="0"/>
              <w:bidi w:val="0"/>
              <w:snapToGrid/>
              <w:spacing w:before="0" w:beforeAutospacing="0" w:after="0" w:afterAutospacing="0" w:line="560" w:lineRule="exact"/>
              <w:textAlignment w:val="auto"/>
              <w:outlineLvl w:val="9"/>
              <w:rPr>
                <w:rFonts w:hint="eastAsia" w:ascii="仿宋_GB2312" w:hAnsi="ˎ̥" w:eastAsia="仿宋_GB2312"/>
                <w:color w:val="20202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25" w:type="dxa"/>
            <w:vAlign w:val="center"/>
          </w:tcPr>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ascii="仿宋_GB2312" w:hAnsi="ˎ̥" w:eastAsia="仿宋_GB2312"/>
                <w:color w:val="202020"/>
                <w:sz w:val="24"/>
                <w:szCs w:val="24"/>
              </w:rPr>
            </w:pPr>
            <w:r>
              <w:rPr>
                <w:rFonts w:hint="eastAsia" w:ascii="仿宋_GB2312" w:hAnsi="ˎ̥" w:eastAsia="仿宋_GB2312"/>
                <w:color w:val="202020"/>
                <w:sz w:val="24"/>
                <w:szCs w:val="24"/>
              </w:rPr>
              <w:t>4</w:t>
            </w:r>
          </w:p>
        </w:tc>
        <w:tc>
          <w:tcPr>
            <w:tcW w:w="1317" w:type="dxa"/>
            <w:vAlign w:val="center"/>
          </w:tcPr>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承金明</w:t>
            </w:r>
          </w:p>
        </w:tc>
        <w:tc>
          <w:tcPr>
            <w:tcW w:w="5440" w:type="dxa"/>
            <w:vAlign w:val="top"/>
          </w:tcPr>
          <w:p>
            <w:pPr>
              <w:pStyle w:val="6"/>
              <w:keepNext w:val="0"/>
              <w:keepLines w:val="0"/>
              <w:pageBreakBefore w:val="0"/>
              <w:numPr>
                <w:ilvl w:val="0"/>
                <w:numId w:val="5"/>
              </w:numPr>
              <w:kinsoku/>
              <w:wordWrap/>
              <w:overflowPunct/>
              <w:topLinePunct w:val="0"/>
              <w:bidi w:val="0"/>
              <w:snapToGrid/>
              <w:spacing w:before="0" w:beforeAutospacing="0" w:after="0" w:afterAutospacing="0" w:line="560" w:lineRule="exact"/>
              <w:textAlignment w:val="auto"/>
              <w:outlineLvl w:val="9"/>
              <w:rPr>
                <w:rFonts w:hint="eastAsia" w:ascii="仿宋_GB2312" w:hAnsi="ˎ̥" w:eastAsia="仿宋_GB2312"/>
                <w:color w:val="202020"/>
                <w:sz w:val="24"/>
                <w:szCs w:val="24"/>
              </w:rPr>
            </w:pPr>
            <w:r>
              <w:rPr>
                <w:rFonts w:ascii="仿宋_GB2312" w:hAnsi="ˎ̥" w:eastAsia="仿宋_GB2312"/>
                <w:color w:val="202020"/>
                <w:sz w:val="24"/>
                <w:szCs w:val="24"/>
              </w:rPr>
              <w:t>管理和监督本辖区产品质量工作</w:t>
            </w:r>
            <w:r>
              <w:rPr>
                <w:rFonts w:hint="eastAsia" w:ascii="仿宋_GB2312" w:hAnsi="ˎ̥" w:eastAsia="仿宋_GB2312"/>
                <w:color w:val="202020"/>
                <w:sz w:val="24"/>
                <w:szCs w:val="24"/>
              </w:rPr>
              <w:t>；</w:t>
            </w:r>
          </w:p>
          <w:p>
            <w:pPr>
              <w:pStyle w:val="6"/>
              <w:keepNext w:val="0"/>
              <w:keepLines w:val="0"/>
              <w:pageBreakBefore w:val="0"/>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hint="eastAsia" w:ascii="仿宋_GB2312" w:hAnsi="ˎ̥" w:eastAsia="仿宋_GB2312"/>
                <w:color w:val="202020"/>
                <w:sz w:val="24"/>
                <w:szCs w:val="24"/>
              </w:rPr>
              <w:t>2、</w:t>
            </w:r>
            <w:r>
              <w:rPr>
                <w:rFonts w:ascii="仿宋_GB2312" w:hAnsi="ˎ̥" w:eastAsia="仿宋_GB2312"/>
                <w:color w:val="202020"/>
                <w:sz w:val="24"/>
                <w:szCs w:val="24"/>
              </w:rPr>
              <w:t>依法办理涉及安全生产前置审批事项的工商登记；</w:t>
            </w:r>
          </w:p>
          <w:p>
            <w:pPr>
              <w:pStyle w:val="6"/>
              <w:keepNext w:val="0"/>
              <w:keepLines w:val="0"/>
              <w:pageBreakBefore w:val="0"/>
              <w:kinsoku/>
              <w:wordWrap/>
              <w:overflowPunct/>
              <w:topLinePunct w:val="0"/>
              <w:bidi w:val="0"/>
              <w:snapToGrid/>
              <w:spacing w:before="0" w:beforeAutospacing="0" w:after="0" w:afterAutospacing="0" w:line="560" w:lineRule="exact"/>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3、特种设备安全监督管理；</w:t>
            </w:r>
          </w:p>
          <w:p>
            <w:pPr>
              <w:pStyle w:val="6"/>
              <w:keepNext w:val="0"/>
              <w:keepLines w:val="0"/>
              <w:pageBreakBefore w:val="0"/>
              <w:kinsoku/>
              <w:wordWrap/>
              <w:overflowPunct/>
              <w:topLinePunct w:val="0"/>
              <w:bidi w:val="0"/>
              <w:snapToGrid/>
              <w:spacing w:before="0" w:beforeAutospacing="0" w:after="0" w:afterAutospacing="0" w:line="560" w:lineRule="exact"/>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4、水务条线开展的各类安全生产工作。</w:t>
            </w:r>
          </w:p>
        </w:tc>
        <w:tc>
          <w:tcPr>
            <w:tcW w:w="1241" w:type="dxa"/>
            <w:vAlign w:val="center"/>
          </w:tcPr>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经济办</w:t>
            </w:r>
          </w:p>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市场所</w:t>
            </w:r>
          </w:p>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ascii="仿宋_GB2312" w:hAnsi="ˎ̥" w:eastAsia="仿宋_GB2312"/>
                <w:color w:val="202020"/>
                <w:sz w:val="24"/>
                <w:szCs w:val="24"/>
              </w:rPr>
            </w:pPr>
            <w:r>
              <w:rPr>
                <w:rFonts w:hint="eastAsia" w:ascii="仿宋_GB2312" w:hAnsi="ˎ̥" w:eastAsia="仿宋_GB2312"/>
                <w:color w:val="202020"/>
                <w:sz w:val="24"/>
                <w:szCs w:val="24"/>
              </w:rPr>
              <w:t>水务所</w:t>
            </w:r>
          </w:p>
        </w:tc>
        <w:tc>
          <w:tcPr>
            <w:tcW w:w="1118" w:type="dxa"/>
            <w:vAlign w:val="top"/>
          </w:tcPr>
          <w:p>
            <w:pPr>
              <w:pStyle w:val="6"/>
              <w:keepNext w:val="0"/>
              <w:keepLines w:val="0"/>
              <w:pageBreakBefore w:val="0"/>
              <w:kinsoku/>
              <w:wordWrap/>
              <w:overflowPunct/>
              <w:topLinePunct w:val="0"/>
              <w:bidi w:val="0"/>
              <w:snapToGrid/>
              <w:spacing w:before="0" w:beforeAutospacing="0" w:after="0" w:afterAutospacing="0" w:line="560" w:lineRule="exact"/>
              <w:textAlignment w:val="auto"/>
              <w:outlineLvl w:val="9"/>
              <w:rPr>
                <w:rFonts w:hint="eastAsia" w:ascii="仿宋_GB2312" w:hAnsi="ˎ̥" w:eastAsia="仿宋_GB2312"/>
                <w:color w:val="20202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25" w:type="dxa"/>
            <w:vAlign w:val="center"/>
          </w:tcPr>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ascii="仿宋_GB2312" w:hAnsi="ˎ̥" w:eastAsia="仿宋_GB2312"/>
                <w:color w:val="202020"/>
                <w:sz w:val="24"/>
                <w:szCs w:val="24"/>
              </w:rPr>
            </w:pPr>
            <w:r>
              <w:rPr>
                <w:rFonts w:hint="eastAsia" w:ascii="仿宋_GB2312" w:hAnsi="ˎ̥" w:eastAsia="仿宋_GB2312"/>
                <w:color w:val="202020"/>
                <w:sz w:val="24"/>
                <w:szCs w:val="24"/>
              </w:rPr>
              <w:t>5</w:t>
            </w:r>
          </w:p>
        </w:tc>
        <w:tc>
          <w:tcPr>
            <w:tcW w:w="1317" w:type="dxa"/>
            <w:vAlign w:val="center"/>
          </w:tcPr>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张倩</w:t>
            </w:r>
          </w:p>
        </w:tc>
        <w:tc>
          <w:tcPr>
            <w:tcW w:w="5440" w:type="dxa"/>
            <w:vAlign w:val="top"/>
          </w:tcPr>
          <w:p>
            <w:pPr>
              <w:pStyle w:val="6"/>
              <w:keepNext w:val="0"/>
              <w:keepLines w:val="0"/>
              <w:pageBreakBefore w:val="0"/>
              <w:numPr>
                <w:ilvl w:val="0"/>
                <w:numId w:val="6"/>
              </w:numPr>
              <w:kinsoku/>
              <w:wordWrap/>
              <w:overflowPunct/>
              <w:topLinePunct w:val="0"/>
              <w:bidi w:val="0"/>
              <w:snapToGrid/>
              <w:spacing w:before="0" w:beforeAutospacing="0" w:after="0" w:afterAutospacing="0" w:line="560" w:lineRule="exact"/>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组织指导开展</w:t>
            </w:r>
            <w:r>
              <w:rPr>
                <w:rFonts w:ascii="仿宋_GB2312" w:hAnsi="ˎ̥" w:eastAsia="仿宋_GB2312"/>
                <w:color w:val="202020"/>
                <w:sz w:val="24"/>
                <w:szCs w:val="24"/>
              </w:rPr>
              <w:t>安全生产宣传教育工作</w:t>
            </w:r>
            <w:r>
              <w:rPr>
                <w:rFonts w:hint="eastAsia" w:ascii="仿宋_GB2312" w:hAnsi="ˎ̥" w:eastAsia="仿宋_GB2312"/>
                <w:color w:val="202020"/>
                <w:sz w:val="24"/>
                <w:szCs w:val="24"/>
              </w:rPr>
              <w:t>，对违反安全生产法律法规的行为进行舆论监督；</w:t>
            </w:r>
            <w:r>
              <w:rPr>
                <w:rFonts w:ascii="仿宋_GB2312" w:hAnsi="ˎ̥" w:eastAsia="仿宋_GB2312"/>
                <w:color w:val="202020"/>
                <w:sz w:val="24"/>
                <w:szCs w:val="24"/>
              </w:rPr>
              <w:t xml:space="preserve"> </w:t>
            </w:r>
          </w:p>
          <w:p>
            <w:pPr>
              <w:pStyle w:val="6"/>
              <w:keepNext w:val="0"/>
              <w:keepLines w:val="0"/>
              <w:pageBreakBefore w:val="0"/>
              <w:numPr>
                <w:ilvl w:val="0"/>
                <w:numId w:val="6"/>
              </w:numPr>
              <w:kinsoku/>
              <w:wordWrap/>
              <w:overflowPunct/>
              <w:topLinePunct w:val="0"/>
              <w:bidi w:val="0"/>
              <w:snapToGrid/>
              <w:spacing w:before="0" w:beforeAutospacing="0" w:after="0" w:afterAutospacing="0" w:line="560" w:lineRule="exact"/>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文化娱乐、演出等文化艺术经营活动安全生产工作；</w:t>
            </w:r>
          </w:p>
          <w:p>
            <w:pPr>
              <w:pStyle w:val="6"/>
              <w:keepNext w:val="0"/>
              <w:keepLines w:val="0"/>
              <w:pageBreakBefore w:val="0"/>
              <w:numPr>
                <w:ilvl w:val="0"/>
                <w:numId w:val="6"/>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hint="eastAsia" w:ascii="仿宋_GB2312" w:hAnsi="ˎ̥" w:eastAsia="仿宋_GB2312"/>
                <w:color w:val="202020"/>
                <w:sz w:val="24"/>
                <w:szCs w:val="24"/>
              </w:rPr>
              <w:t>文化市场安全管理；</w:t>
            </w:r>
          </w:p>
          <w:p>
            <w:pPr>
              <w:pStyle w:val="6"/>
              <w:keepNext w:val="0"/>
              <w:keepLines w:val="0"/>
              <w:pageBreakBefore w:val="0"/>
              <w:numPr>
                <w:ilvl w:val="0"/>
                <w:numId w:val="6"/>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hint="eastAsia" w:ascii="仿宋_GB2312" w:hAnsi="ˎ̥" w:eastAsia="仿宋_GB2312"/>
                <w:color w:val="202020"/>
                <w:sz w:val="24"/>
                <w:szCs w:val="24"/>
              </w:rPr>
              <w:t>对主办或承办的各类文化娱乐活动及体育竞赛活动承担安全管理主体责任；</w:t>
            </w:r>
          </w:p>
          <w:p>
            <w:pPr>
              <w:pStyle w:val="6"/>
              <w:keepNext w:val="0"/>
              <w:keepLines w:val="0"/>
              <w:pageBreakBefore w:val="0"/>
              <w:numPr>
                <w:ilvl w:val="0"/>
                <w:numId w:val="6"/>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hint="eastAsia" w:ascii="仿宋_GB2312" w:hAnsi="ˎ̥" w:eastAsia="仿宋_GB2312"/>
                <w:color w:val="202020"/>
                <w:sz w:val="24"/>
                <w:szCs w:val="24"/>
              </w:rPr>
              <w:t>公共体育设施安全运行的监督管理；</w:t>
            </w:r>
          </w:p>
          <w:p>
            <w:pPr>
              <w:pStyle w:val="6"/>
              <w:keepNext w:val="0"/>
              <w:keepLines w:val="0"/>
              <w:pageBreakBefore w:val="0"/>
              <w:numPr>
                <w:ilvl w:val="0"/>
                <w:numId w:val="6"/>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ascii="仿宋_GB2312" w:hAnsi="ˎ̥" w:eastAsia="仿宋_GB2312"/>
                <w:color w:val="202020"/>
                <w:sz w:val="24"/>
                <w:szCs w:val="24"/>
              </w:rPr>
              <w:t xml:space="preserve">食品安全综合协调和药品安全监管；                           </w:t>
            </w:r>
          </w:p>
          <w:p>
            <w:pPr>
              <w:pStyle w:val="6"/>
              <w:keepNext w:val="0"/>
              <w:keepLines w:val="0"/>
              <w:pageBreakBefore w:val="0"/>
              <w:numPr>
                <w:ilvl w:val="0"/>
                <w:numId w:val="6"/>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ascii="仿宋_GB2312" w:hAnsi="ˎ̥" w:eastAsia="仿宋_GB2312"/>
                <w:color w:val="202020"/>
                <w:sz w:val="24"/>
                <w:szCs w:val="24"/>
              </w:rPr>
              <w:t xml:space="preserve">学校、卫生医疗机构、敬老院、社会福利机构、殡葬服务场所、福利企业等行业的安全监管；                               </w:t>
            </w:r>
          </w:p>
          <w:p>
            <w:pPr>
              <w:pStyle w:val="6"/>
              <w:keepNext w:val="0"/>
              <w:keepLines w:val="0"/>
              <w:pageBreakBefore w:val="0"/>
              <w:numPr>
                <w:ilvl w:val="0"/>
                <w:numId w:val="6"/>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ascii="仿宋_GB2312" w:hAnsi="ˎ̥" w:eastAsia="仿宋_GB2312"/>
                <w:color w:val="202020"/>
                <w:sz w:val="24"/>
                <w:szCs w:val="24"/>
              </w:rPr>
              <w:t xml:space="preserve">重大祭奠等节日有关公共聚集场所的安全管理；                                  </w:t>
            </w:r>
          </w:p>
          <w:p>
            <w:pPr>
              <w:pStyle w:val="6"/>
              <w:keepNext w:val="0"/>
              <w:keepLines w:val="0"/>
              <w:pageBreakBefore w:val="0"/>
              <w:numPr>
                <w:ilvl w:val="0"/>
                <w:numId w:val="6"/>
              </w:numPr>
              <w:kinsoku/>
              <w:wordWrap/>
              <w:overflowPunct/>
              <w:topLinePunct w:val="0"/>
              <w:bidi w:val="0"/>
              <w:snapToGrid/>
              <w:spacing w:before="0" w:beforeAutospacing="0" w:after="0" w:afterAutospacing="0" w:line="560" w:lineRule="exact"/>
              <w:textAlignment w:val="auto"/>
              <w:outlineLvl w:val="9"/>
              <w:rPr>
                <w:rFonts w:ascii="仿宋_GB2312" w:hAnsi="ˎ̥" w:eastAsia="仿宋_GB2312"/>
                <w:color w:val="202020"/>
                <w:sz w:val="24"/>
                <w:szCs w:val="24"/>
              </w:rPr>
            </w:pPr>
            <w:r>
              <w:rPr>
                <w:rFonts w:hint="eastAsia" w:ascii="仿宋_GB2312" w:hAnsi="ˎ̥" w:eastAsia="仿宋_GB2312"/>
                <w:color w:val="202020"/>
                <w:sz w:val="24"/>
                <w:szCs w:val="24"/>
              </w:rPr>
              <w:t>职业卫生监督管理工作。</w:t>
            </w:r>
            <w:r>
              <w:rPr>
                <w:rFonts w:ascii="仿宋_GB2312" w:hAnsi="ˎ̥" w:eastAsia="仿宋_GB2312"/>
                <w:color w:val="202020"/>
                <w:sz w:val="24"/>
                <w:szCs w:val="24"/>
              </w:rPr>
              <w:t xml:space="preserve">                                                      </w:t>
            </w:r>
          </w:p>
        </w:tc>
        <w:tc>
          <w:tcPr>
            <w:tcW w:w="1241" w:type="dxa"/>
            <w:vAlign w:val="center"/>
          </w:tcPr>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事业办</w:t>
            </w:r>
          </w:p>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事务办</w:t>
            </w:r>
          </w:p>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市场所</w:t>
            </w:r>
          </w:p>
          <w:p>
            <w:pPr>
              <w:pStyle w:val="6"/>
              <w:keepNext w:val="0"/>
              <w:keepLines w:val="0"/>
              <w:pageBreakBefore w:val="0"/>
              <w:kinsoku/>
              <w:wordWrap/>
              <w:overflowPunct/>
              <w:topLinePunct w:val="0"/>
              <w:bidi w:val="0"/>
              <w:snapToGrid/>
              <w:spacing w:before="0" w:beforeAutospacing="0" w:after="0" w:afterAutospacing="0" w:line="560" w:lineRule="exact"/>
              <w:jc w:val="center"/>
              <w:textAlignment w:val="auto"/>
              <w:outlineLvl w:val="9"/>
              <w:rPr>
                <w:rFonts w:hint="eastAsia" w:ascii="仿宋_GB2312" w:hAnsi="ˎ̥" w:eastAsia="仿宋_GB2312"/>
                <w:color w:val="202020"/>
                <w:sz w:val="24"/>
                <w:szCs w:val="24"/>
              </w:rPr>
            </w:pPr>
            <w:r>
              <w:rPr>
                <w:rFonts w:hint="eastAsia" w:ascii="仿宋_GB2312" w:hAnsi="ˎ̥" w:eastAsia="仿宋_GB2312"/>
                <w:color w:val="202020"/>
                <w:sz w:val="24"/>
                <w:szCs w:val="24"/>
              </w:rPr>
              <w:t>文广站</w:t>
            </w:r>
          </w:p>
        </w:tc>
        <w:tc>
          <w:tcPr>
            <w:tcW w:w="1118" w:type="dxa"/>
            <w:vAlign w:val="top"/>
          </w:tcPr>
          <w:p>
            <w:pPr>
              <w:pStyle w:val="6"/>
              <w:keepNext w:val="0"/>
              <w:keepLines w:val="0"/>
              <w:pageBreakBefore w:val="0"/>
              <w:kinsoku/>
              <w:wordWrap/>
              <w:overflowPunct/>
              <w:topLinePunct w:val="0"/>
              <w:bidi w:val="0"/>
              <w:snapToGrid/>
              <w:spacing w:before="0" w:beforeAutospacing="0" w:after="0" w:afterAutospacing="0" w:line="560" w:lineRule="exact"/>
              <w:textAlignment w:val="auto"/>
              <w:outlineLvl w:val="9"/>
              <w:rPr>
                <w:rFonts w:hint="eastAsia" w:ascii="仿宋_GB2312" w:hAnsi="ˎ̥" w:eastAsia="仿宋_GB2312"/>
                <w:color w:val="202020"/>
                <w:sz w:val="24"/>
                <w:szCs w:val="24"/>
              </w:rPr>
            </w:pPr>
          </w:p>
        </w:tc>
      </w:tr>
    </w:tbl>
    <w:p>
      <w:pPr>
        <w:keepNext w:val="0"/>
        <w:keepLines w:val="0"/>
        <w:pageBreakBefore w:val="0"/>
        <w:widowControl w:val="0"/>
        <w:kinsoku/>
        <w:wordWrap/>
        <w:overflowPunct/>
        <w:topLinePunct w:val="0"/>
        <w:autoSpaceDE/>
        <w:autoSpaceDN/>
        <w:bidi w:val="0"/>
        <w:adjustRightInd/>
        <w:snapToGrid/>
        <w:spacing w:line="560" w:lineRule="exact"/>
        <w:jc w:val="both"/>
        <w:textAlignment w:val="auto"/>
        <w:outlineLvl w:val="9"/>
        <w:rPr>
          <w:rFonts w:hint="eastAsia" w:ascii="仿宋_GB2312" w:eastAsia="仿宋_GB2312"/>
          <w:sz w:val="32"/>
          <w:szCs w:val="32"/>
          <w:lang w:val="en-US" w:eastAsia="zh-CN"/>
        </w:rPr>
      </w:pPr>
    </w:p>
    <w:p>
      <w:pPr>
        <w:jc w:val="right"/>
        <w:rPr>
          <w:rFonts w:hint="eastAsia"/>
        </w:rPr>
      </w:pPr>
    </w:p>
    <w:sectPr>
      <w:headerReference r:id="rId3" w:type="default"/>
      <w:footerReference r:id="rId4" w:type="default"/>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康简标题宋">
    <w:altName w:val="宋体"/>
    <w:panose1 w:val="02010609000101010101"/>
    <w:charset w:val="86"/>
    <w:family w:val="modern"/>
    <w:pitch w:val="default"/>
    <w:sig w:usb0="00000000" w:usb1="00000000" w:usb2="00000000" w:usb3="00000000" w:csb0="00040001" w:csb1="00000000"/>
  </w:font>
  <w:font w:name="方正小标宋_GBK">
    <w:altName w:val="微软雅黑"/>
    <w:panose1 w:val="03000509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ˎ̥">
    <w:altName w:val="Times New Roman"/>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p>
    <w:pPr>
      <w:pStyle w:val="4"/>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uo6nIZAgAAIQQAAA4AAABkcnMvZTJvRG9jLnhtbK1Ty47TMBTdI/EP&#10;lvc0aRGjqmo6KjMqQqqYkQpi7TpOE8kv2W6T8gHwB6zYsOe7+h0cO0kHASvExr72fZ977vK2U5Kc&#10;hPON0QWdTnJKhOambPShoB/eb17MKfGB6ZJJo0VBz8LT29XzZ8vWLsTM1EaWwhEE0X7R2oLWIdhF&#10;lnleC8X8xFihoayMUyzg6Q5Z6ViL6Epmszy/yVrjSusMF97j975X0lWKX1WCh4eq8iIQWVDUFtLp&#10;0rmPZ7ZassXBMVs3fCiD/UMVijUaSa+h7llg5OiaP0KphjvjTRUm3KjMVFXDReoB3Uzz37rZ1cyK&#10;1AvA8fYKk/9/Yfm706MjTYnZUaKZwoguX79cvv24fP9MphGe1voFrHYWdqF7bbpoOvx7fMauu8qp&#10;eKMfAj2APl/BFV0gPDrNZ/N5DhWHbnwgTvbkbp0Pb4RRJAoFdZheApWdtj70pqNJzKbNppES/2wh&#10;NWkLevPyVZ4crhoElzoaiMSFIUxsqS89SqHbd0M/e1Oe0aYzPU+85ZsGpWyZD4/MgRgoH2QPDzgq&#10;aZDSDBIltXGf/vYf7TEvaClpQbSCamwCJfKtxhwjJ0fBjcJ+FPRR3RkwF7NBLUmEgwtyFCtn1Eds&#10;wDrmgIppjkwFDaN4F3qyY4O4WK+T0dG65lD3DmChZWGrd5bHNBEqb9fHAGgT4hGgHhVMKj7AwzSz&#10;YWci0X99J6unzV79B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LNJWO7QAAAABQEAAA8AAAAAAAAA&#10;AQAgAAAAIgAAAGRycy9kb3ducmV2LnhtbFBLAQIUABQAAAAIAIdO4kArqOpyGQIAACEEAAAOAAAA&#10;AAAAAAEAIAAAAB8BAABkcnMvZTJvRG9jLnhtbFBLBQYAAAAABgAGAFkBAACqBQAAAAA=&#10;">
              <v:fill on="f" focussize="0,0"/>
              <v:stroke on="f" weight="0.5pt"/>
              <v:imagedata o:title=""/>
              <o:lock v:ext="edit" aspectratio="f"/>
              <v:textbox inset="0mm,0mm,0mm,0mm" style="mso-fit-shape-to-text:t;">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9F3A912"/>
    <w:multiLevelType w:val="singleLevel"/>
    <w:tmpl w:val="89F3A912"/>
    <w:lvl w:ilvl="0" w:tentative="0">
      <w:start w:val="1"/>
      <w:numFmt w:val="decimal"/>
      <w:suff w:val="nothing"/>
      <w:lvlText w:val="%1、"/>
      <w:lvlJc w:val="left"/>
    </w:lvl>
  </w:abstractNum>
  <w:abstractNum w:abstractNumId="1">
    <w:nsid w:val="E7A59DAB"/>
    <w:multiLevelType w:val="singleLevel"/>
    <w:tmpl w:val="E7A59DAB"/>
    <w:lvl w:ilvl="0" w:tentative="0">
      <w:start w:val="1"/>
      <w:numFmt w:val="decimal"/>
      <w:suff w:val="nothing"/>
      <w:lvlText w:val="%1、"/>
      <w:lvlJc w:val="left"/>
    </w:lvl>
  </w:abstractNum>
  <w:abstractNum w:abstractNumId="2">
    <w:nsid w:val="305217B7"/>
    <w:multiLevelType w:val="singleLevel"/>
    <w:tmpl w:val="305217B7"/>
    <w:lvl w:ilvl="0" w:tentative="0">
      <w:start w:val="1"/>
      <w:numFmt w:val="decimal"/>
      <w:lvlText w:val="%1."/>
      <w:lvlJc w:val="left"/>
      <w:pPr>
        <w:tabs>
          <w:tab w:val="left" w:pos="312"/>
        </w:tabs>
      </w:pPr>
    </w:lvl>
  </w:abstractNum>
  <w:abstractNum w:abstractNumId="3">
    <w:nsid w:val="61E060BC"/>
    <w:multiLevelType w:val="singleLevel"/>
    <w:tmpl w:val="61E060BC"/>
    <w:lvl w:ilvl="0" w:tentative="0">
      <w:start w:val="1"/>
      <w:numFmt w:val="decimal"/>
      <w:suff w:val="nothing"/>
      <w:lvlText w:val="%1、"/>
      <w:lvlJc w:val="left"/>
    </w:lvl>
  </w:abstractNum>
  <w:abstractNum w:abstractNumId="4">
    <w:nsid w:val="642C16BF"/>
    <w:multiLevelType w:val="singleLevel"/>
    <w:tmpl w:val="642C16BF"/>
    <w:lvl w:ilvl="0" w:tentative="0">
      <w:start w:val="1"/>
      <w:numFmt w:val="decimal"/>
      <w:suff w:val="nothing"/>
      <w:lvlText w:val="%1、"/>
      <w:lvlJc w:val="left"/>
    </w:lvl>
  </w:abstractNum>
  <w:abstractNum w:abstractNumId="5">
    <w:nsid w:val="7550BB73"/>
    <w:multiLevelType w:val="singleLevel"/>
    <w:tmpl w:val="7550BB73"/>
    <w:lvl w:ilvl="0" w:tentative="0">
      <w:start w:val="1"/>
      <w:numFmt w:val="decimal"/>
      <w:suff w:val="nothing"/>
      <w:lvlText w:val="%1、"/>
      <w:lvlJc w:val="left"/>
    </w:lvl>
  </w:abstractNum>
  <w:num w:numId="1">
    <w:abstractNumId w:val="3"/>
  </w:num>
  <w:num w:numId="2">
    <w:abstractNumId w:val="5"/>
  </w:num>
  <w:num w:numId="3">
    <w:abstractNumId w:val="2"/>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6463BDB"/>
    <w:rsid w:val="16463BD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iPriority w:val="0"/>
  </w:style>
  <w:style w:type="table" w:default="1" w:styleId="9">
    <w:name w:val="Normal Table"/>
    <w:semiHidden/>
    <w:uiPriority w:val="0"/>
    <w:tblPr>
      <w:tblLayout w:type="fixed"/>
      <w:tblCellMar>
        <w:top w:w="0" w:type="dxa"/>
        <w:left w:w="108" w:type="dxa"/>
        <w:bottom w:w="0" w:type="dxa"/>
        <w:right w:w="108" w:type="dxa"/>
      </w:tblCellMar>
    </w:tblPr>
  </w:style>
  <w:style w:type="paragraph" w:styleId="2">
    <w:name w:val="Body Text"/>
    <w:basedOn w:val="1"/>
    <w:qFormat/>
    <w:uiPriority w:val="0"/>
  </w:style>
  <w:style w:type="paragraph" w:styleId="3">
    <w:name w:val="Date"/>
    <w:basedOn w:val="1"/>
    <w:next w:val="1"/>
    <w:uiPriority w:val="0"/>
    <w:rPr>
      <w:rFonts w:ascii="仿宋_GB2312" w:eastAsia="仿宋_GB2312"/>
      <w:sz w:val="28"/>
      <w:szCs w:val="20"/>
    </w:rPr>
  </w:style>
  <w:style w:type="paragraph" w:styleId="4">
    <w:name w:val="footer"/>
    <w:basedOn w:val="1"/>
    <w:uiPriority w:val="0"/>
    <w:pPr>
      <w:tabs>
        <w:tab w:val="center" w:pos="4153"/>
        <w:tab w:val="right" w:pos="8306"/>
      </w:tabs>
      <w:snapToGrid w:val="0"/>
      <w:jc w:val="left"/>
    </w:pPr>
    <w:rPr>
      <w:sz w:val="18"/>
      <w:szCs w:val="20"/>
    </w:rPr>
  </w:style>
  <w:style w:type="paragraph" w:styleId="5">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8">
    <w:name w:val="page number"/>
    <w:basedOn w:val="7"/>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Office_10.8.2.6666_F1E327BC-269C-435d-A152-05C5408002CA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2020-04-02T02:29:00Z</dcterms:created>
  <dc:creator>Lenovo103</dc:creator>
  <cp:lastModifiedBy>Lenovo103</cp:lastModifiedBy>
  <dcterms:modified xsi:type="dcterms:W3CDTF">2020-04-02T05:26:03Z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2052-10.8.2.6666</vt:lpwstr>
  </property>
</Properties>
</file>