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CAD8149">
      <w:pPr>
        <w:keepNext w:val="0"/>
        <w:keepLines w:val="0"/>
        <w:pageBreakBefore w:val="0"/>
        <w:widowControl w:val="0"/>
        <w:kinsoku/>
        <w:wordWrap/>
        <w:overflowPunct/>
        <w:topLinePunct w:val="0"/>
        <w:autoSpaceDE/>
        <w:autoSpaceDN/>
        <w:bidi w:val="0"/>
        <w:adjustRightInd/>
        <w:snapToGrid/>
        <w:spacing w:line="540" w:lineRule="exact"/>
        <w:ind w:left="0" w:leftChars="0" w:right="0" w:rightChars="0"/>
        <w:jc w:val="center"/>
        <w:textAlignment w:val="auto"/>
        <w:outlineLvl w:val="9"/>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上海市崇明区发展和改革委员会2024年度</w:t>
      </w:r>
    </w:p>
    <w:p w14:paraId="0530AABD">
      <w:pPr>
        <w:keepNext w:val="0"/>
        <w:keepLines w:val="0"/>
        <w:pageBreakBefore w:val="0"/>
        <w:widowControl w:val="0"/>
        <w:kinsoku/>
        <w:wordWrap/>
        <w:overflowPunct/>
        <w:topLinePunct w:val="0"/>
        <w:autoSpaceDE/>
        <w:autoSpaceDN/>
        <w:bidi w:val="0"/>
        <w:adjustRightInd/>
        <w:snapToGrid/>
        <w:spacing w:line="540" w:lineRule="exact"/>
        <w:ind w:left="0" w:leftChars="0" w:right="0" w:rightChars="0"/>
        <w:jc w:val="center"/>
        <w:textAlignment w:val="auto"/>
        <w:outlineLvl w:val="9"/>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行政许可实施情况年度报告</w:t>
      </w:r>
    </w:p>
    <w:p w14:paraId="4E8BE60E">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leftChars="0" w:right="0" w:rightChars="0"/>
        <w:textAlignment w:val="auto"/>
        <w:outlineLvl w:val="9"/>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 xml:space="preserve">  </w:t>
      </w:r>
    </w:p>
    <w:p w14:paraId="3948FF2E">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leftChars="0" w:right="0" w:rightChars="0" w:firstLine="640"/>
        <w:jc w:val="left"/>
        <w:textAlignment w:val="auto"/>
        <w:outlineLvl w:val="9"/>
        <w:rPr>
          <w:rFonts w:hint="eastAsia" w:ascii="Times New Roman" w:hAnsi="Times New Roman" w:eastAsia="仿宋_GB2312"/>
          <w:color w:val="000000"/>
          <w:sz w:val="32"/>
          <w:szCs w:val="32"/>
          <w:lang w:val="en-US" w:eastAsia="zh-CN"/>
        </w:rPr>
      </w:pPr>
      <w:r>
        <w:rPr>
          <w:rFonts w:hint="eastAsia" w:ascii="Times New Roman" w:hAnsi="Times New Roman" w:eastAsia="仿宋_GB2312"/>
          <w:color w:val="000000"/>
          <w:sz w:val="32"/>
          <w:szCs w:val="32"/>
          <w:lang w:val="en-US" w:eastAsia="zh-CN"/>
        </w:rPr>
        <w:t>根据《中华人民共和国行政许可法》《上海市优化营商环境条例》等有关规定，现将本部门2024年行政许可实施情况报告如下:</w:t>
      </w:r>
    </w:p>
    <w:p w14:paraId="4B483F73">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leftChars="0" w:right="0" w:rightChars="0" w:firstLine="640" w:firstLineChars="200"/>
        <w:textAlignment w:val="auto"/>
        <w:outlineLvl w:val="9"/>
        <w:rPr>
          <w:rFonts w:hint="default" w:ascii="黑体" w:hAnsi="黑体" w:eastAsia="黑体" w:cs="黑体"/>
          <w:sz w:val="32"/>
          <w:szCs w:val="32"/>
          <w:lang w:val="en-US" w:eastAsia="zh-CN"/>
        </w:rPr>
      </w:pPr>
      <w:r>
        <w:rPr>
          <w:rFonts w:hint="eastAsia" w:ascii="黑体" w:hAnsi="黑体" w:eastAsia="黑体" w:cs="黑体"/>
          <w:sz w:val="32"/>
          <w:szCs w:val="32"/>
          <w:lang w:val="en-US" w:eastAsia="zh-CN"/>
        </w:rPr>
        <w:t>一、总体情况</w:t>
      </w:r>
    </w:p>
    <w:p w14:paraId="57ACAF2B">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leftChars="0" w:right="0" w:rightChars="0" w:firstLine="640"/>
        <w:jc w:val="left"/>
        <w:textAlignment w:val="auto"/>
        <w:outlineLvl w:val="9"/>
        <w:rPr>
          <w:rFonts w:hint="default" w:ascii="Times New Roman" w:hAnsi="Times New Roman" w:eastAsia="仿宋_GB2312"/>
          <w:color w:val="000000"/>
          <w:sz w:val="32"/>
          <w:szCs w:val="32"/>
          <w:lang w:val="en-US" w:eastAsia="zh-CN"/>
        </w:rPr>
      </w:pPr>
      <w:r>
        <w:rPr>
          <w:rFonts w:hint="eastAsia" w:ascii="Times New Roman" w:hAnsi="Times New Roman" w:eastAsia="仿宋_GB2312"/>
          <w:color w:val="000000"/>
          <w:sz w:val="32"/>
          <w:szCs w:val="32"/>
          <w:lang w:val="en-US" w:eastAsia="zh-CN"/>
        </w:rPr>
        <w:t>我委</w:t>
      </w:r>
      <w:r>
        <w:rPr>
          <w:rFonts w:ascii="Times New Roman" w:hAnsi="Times New Roman" w:eastAsia="仿宋_GB2312"/>
          <w:color w:val="000000"/>
          <w:sz w:val="32"/>
          <w:szCs w:val="32"/>
        </w:rPr>
        <w:t>认真学习贯彻落实</w:t>
      </w:r>
      <w:r>
        <w:rPr>
          <w:rFonts w:hint="eastAsia" w:ascii="Times New Roman" w:hAnsi="Times New Roman" w:eastAsia="仿宋_GB2312"/>
          <w:color w:val="000000"/>
          <w:sz w:val="32"/>
          <w:szCs w:val="32"/>
          <w:lang w:eastAsia="zh-CN"/>
        </w:rPr>
        <w:t>《</w:t>
      </w:r>
      <w:r>
        <w:rPr>
          <w:rFonts w:hint="eastAsia" w:ascii="Times New Roman" w:hAnsi="Times New Roman" w:eastAsia="仿宋_GB2312"/>
          <w:color w:val="000000"/>
          <w:sz w:val="32"/>
          <w:szCs w:val="32"/>
          <w:lang w:val="en-US" w:eastAsia="zh-CN"/>
        </w:rPr>
        <w:t>中华人民共和国行政许可法</w:t>
      </w:r>
      <w:r>
        <w:rPr>
          <w:rFonts w:hint="eastAsia" w:ascii="Times New Roman" w:hAnsi="Times New Roman" w:eastAsia="仿宋_GB2312"/>
          <w:color w:val="000000"/>
          <w:sz w:val="32"/>
          <w:szCs w:val="32"/>
          <w:lang w:eastAsia="zh-CN"/>
        </w:rPr>
        <w:t>》，</w:t>
      </w:r>
      <w:r>
        <w:rPr>
          <w:rFonts w:hint="eastAsia" w:ascii="Times New Roman" w:hAnsi="Times New Roman" w:eastAsia="仿宋_GB2312"/>
          <w:color w:val="000000"/>
          <w:sz w:val="32"/>
          <w:szCs w:val="32"/>
          <w:lang w:val="en-US" w:eastAsia="zh-CN"/>
        </w:rPr>
        <w:t>全面实行行政许可事项清单管理，推进行政审批制度改革工作。</w:t>
      </w:r>
      <w:bookmarkStart w:id="0" w:name="_GoBack"/>
      <w:bookmarkEnd w:id="0"/>
      <w:r>
        <w:rPr>
          <w:rFonts w:hint="eastAsia" w:ascii="Times New Roman" w:hAnsi="Times New Roman" w:eastAsia="仿宋_GB2312"/>
          <w:color w:val="000000"/>
          <w:sz w:val="32"/>
          <w:szCs w:val="32"/>
          <w:lang w:eastAsia="zh-CN"/>
        </w:rPr>
        <w:t>总体而言，自我委深入开展行政许可事项清单管理工作以来，积极探索创新行政许可工作的方式方法，围绕这一核心开展了一系列相关工作：梳理并编制行政许可清单，确保权责清晰，有单可依，推动政府严格按照清单履行职责；秉持“互联网+政务服务”的工作理念，大力推行公开透明的行政审批制度；同时，进一步规范审批行为，精简审批手续，持续优化审批服务，不断提升行政许可工作的效能与质量。</w:t>
      </w:r>
    </w:p>
    <w:p w14:paraId="3AC64D42">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leftChars="0" w:right="0" w:rightChars="0"/>
        <w:textAlignment w:val="auto"/>
        <w:outlineLvl w:val="9"/>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 xml:space="preserve">    二、行政许可办理情况</w:t>
      </w:r>
    </w:p>
    <w:p w14:paraId="1987B20D">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leftChars="0" w:right="0" w:rightChars="0" w:firstLine="642"/>
        <w:jc w:val="left"/>
        <w:textAlignment w:val="auto"/>
        <w:outlineLvl w:val="9"/>
        <w:rPr>
          <w:rFonts w:hint="eastAsia" w:ascii="楷体_GB2312" w:hAnsi="楷体_GB2312" w:eastAsia="楷体_GB2312" w:cs="楷体_GB2312"/>
          <w:b/>
          <w:bCs/>
          <w:color w:val="000000"/>
          <w:sz w:val="32"/>
          <w:szCs w:val="32"/>
          <w:lang w:eastAsia="zh-CN"/>
        </w:rPr>
      </w:pPr>
      <w:r>
        <w:rPr>
          <w:rFonts w:hint="eastAsia" w:ascii="Times New Roman" w:hAnsi="Times New Roman" w:eastAsia="仿宋_GB2312"/>
          <w:color w:val="000000"/>
          <w:sz w:val="32"/>
          <w:szCs w:val="32"/>
        </w:rPr>
        <w:t>我委</w:t>
      </w:r>
      <w:r>
        <w:rPr>
          <w:rFonts w:ascii="Times New Roman" w:hAnsi="Times New Roman" w:eastAsia="仿宋_GB2312"/>
          <w:color w:val="000000"/>
          <w:sz w:val="32"/>
          <w:szCs w:val="32"/>
        </w:rPr>
        <w:t>认真梳理</w:t>
      </w:r>
      <w:r>
        <w:rPr>
          <w:rFonts w:hint="eastAsia" w:ascii="Times New Roman" w:hAnsi="Times New Roman" w:eastAsia="仿宋_GB2312"/>
          <w:color w:val="000000"/>
          <w:sz w:val="32"/>
          <w:szCs w:val="32"/>
        </w:rPr>
        <w:t>国家、市级最新政策，抓紧学习消化，及时</w:t>
      </w:r>
      <w:r>
        <w:rPr>
          <w:rFonts w:eastAsia="仿宋_GB2312"/>
          <w:color w:val="000000"/>
          <w:sz w:val="32"/>
          <w:szCs w:val="32"/>
        </w:rPr>
        <w:t>完成行政审批权力清单</w:t>
      </w:r>
      <w:r>
        <w:rPr>
          <w:rFonts w:hint="eastAsia" w:eastAsia="仿宋_GB2312"/>
          <w:color w:val="000000"/>
          <w:sz w:val="32"/>
          <w:szCs w:val="32"/>
        </w:rPr>
        <w:t>梳理，认真</w:t>
      </w:r>
      <w:r>
        <w:rPr>
          <w:rFonts w:eastAsia="仿宋_GB2312"/>
          <w:color w:val="000000"/>
          <w:sz w:val="32"/>
          <w:szCs w:val="32"/>
        </w:rPr>
        <w:t>编制</w:t>
      </w:r>
      <w:r>
        <w:rPr>
          <w:rFonts w:hint="eastAsia" w:eastAsia="仿宋_GB2312"/>
          <w:color w:val="000000"/>
          <w:sz w:val="32"/>
          <w:szCs w:val="32"/>
        </w:rPr>
        <w:t>完成</w:t>
      </w:r>
      <w:r>
        <w:rPr>
          <w:rFonts w:hint="eastAsia" w:eastAsia="仿宋_GB2312"/>
          <w:color w:val="000000"/>
          <w:sz w:val="32"/>
          <w:szCs w:val="32"/>
          <w:lang w:eastAsia="zh-CN"/>
        </w:rPr>
        <w:t>“</w:t>
      </w:r>
      <w:r>
        <w:rPr>
          <w:rFonts w:hint="eastAsia" w:eastAsia="仿宋_GB2312"/>
          <w:color w:val="000000"/>
          <w:sz w:val="32"/>
          <w:szCs w:val="32"/>
          <w:lang w:val="en-US" w:eastAsia="zh-CN"/>
        </w:rPr>
        <w:t>一网通办</w:t>
      </w:r>
      <w:r>
        <w:rPr>
          <w:rFonts w:hint="eastAsia" w:eastAsia="仿宋_GB2312"/>
          <w:color w:val="000000"/>
          <w:sz w:val="32"/>
          <w:szCs w:val="32"/>
          <w:lang w:eastAsia="zh-CN"/>
        </w:rPr>
        <w:t>”</w:t>
      </w:r>
      <w:r>
        <w:rPr>
          <w:rFonts w:eastAsia="仿宋_GB2312"/>
          <w:color w:val="000000"/>
          <w:sz w:val="32"/>
          <w:szCs w:val="32"/>
        </w:rPr>
        <w:t>办事指南</w:t>
      </w:r>
      <w:r>
        <w:rPr>
          <w:rFonts w:hint="eastAsia" w:eastAsia="仿宋_GB2312"/>
          <w:color w:val="000000"/>
          <w:sz w:val="32"/>
          <w:szCs w:val="32"/>
        </w:rPr>
        <w:t>，</w:t>
      </w:r>
      <w:r>
        <w:rPr>
          <w:rFonts w:ascii="Times New Roman" w:hAnsi="Times New Roman" w:eastAsia="仿宋_GB2312"/>
          <w:color w:val="000000"/>
          <w:sz w:val="32"/>
          <w:szCs w:val="32"/>
        </w:rPr>
        <w:t>并做好审批事项衔接、落实工作。</w:t>
      </w:r>
    </w:p>
    <w:p w14:paraId="13DCAE36">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leftChars="0" w:right="0" w:rightChars="0" w:firstLine="642"/>
        <w:jc w:val="left"/>
        <w:textAlignment w:val="auto"/>
        <w:outlineLvl w:val="9"/>
        <w:rPr>
          <w:rFonts w:hint="eastAsia" w:ascii="Times New Roman" w:hAnsi="Times New Roman" w:eastAsia="仿宋_GB2312"/>
          <w:color w:val="000000"/>
          <w:sz w:val="32"/>
          <w:szCs w:val="32"/>
        </w:rPr>
      </w:pPr>
      <w:r>
        <w:rPr>
          <w:rFonts w:hint="eastAsia" w:ascii="Times New Roman" w:hAnsi="Times New Roman" w:eastAsia="仿宋_GB2312"/>
          <w:color w:val="000000"/>
          <w:sz w:val="32"/>
          <w:szCs w:val="32"/>
        </w:rPr>
        <w:t>目前我区</w:t>
      </w:r>
      <w:r>
        <w:rPr>
          <w:rFonts w:ascii="Times New Roman" w:hAnsi="Times New Roman" w:eastAsia="仿宋_GB2312"/>
          <w:color w:val="000000"/>
          <w:sz w:val="32"/>
          <w:szCs w:val="32"/>
        </w:rPr>
        <w:t>投资审批信息已全部进入“投资项目在线审批监管平台—上海子平台”，并与国家发改委、市级部门实现联网，便于信息同享、监督管理。</w:t>
      </w:r>
      <w:r>
        <w:rPr>
          <w:rFonts w:hint="eastAsia" w:eastAsia="仿宋_GB2312"/>
          <w:color w:val="000000"/>
          <w:kern w:val="0"/>
          <w:sz w:val="32"/>
          <w:szCs w:val="32"/>
        </w:rPr>
        <w:t>通过</w:t>
      </w:r>
      <w:r>
        <w:rPr>
          <w:rFonts w:eastAsia="仿宋_GB2312"/>
          <w:color w:val="000000"/>
          <w:kern w:val="0"/>
          <w:sz w:val="32"/>
          <w:szCs w:val="32"/>
        </w:rPr>
        <w:t>积极引导项目建设单位熟悉网上申报流程，逐步实现投资项目审批</w:t>
      </w:r>
      <w:r>
        <w:rPr>
          <w:rFonts w:hint="eastAsia" w:eastAsia="仿宋_GB2312"/>
          <w:color w:val="000000"/>
          <w:kern w:val="0"/>
          <w:sz w:val="32"/>
          <w:szCs w:val="32"/>
        </w:rPr>
        <w:t>“</w:t>
      </w:r>
      <w:r>
        <w:rPr>
          <w:rFonts w:eastAsia="仿宋_GB2312"/>
          <w:color w:val="000000"/>
          <w:kern w:val="0"/>
          <w:sz w:val="32"/>
          <w:szCs w:val="32"/>
        </w:rPr>
        <w:t>网上申报、网上审批</w:t>
      </w:r>
      <w:r>
        <w:rPr>
          <w:rFonts w:hint="eastAsia" w:eastAsia="仿宋_GB2312"/>
          <w:color w:val="000000"/>
          <w:kern w:val="0"/>
          <w:sz w:val="32"/>
          <w:szCs w:val="32"/>
        </w:rPr>
        <w:t>”</w:t>
      </w:r>
      <w:r>
        <w:rPr>
          <w:rFonts w:eastAsia="仿宋_GB2312"/>
          <w:color w:val="000000"/>
          <w:kern w:val="0"/>
          <w:sz w:val="32"/>
          <w:szCs w:val="32"/>
        </w:rPr>
        <w:t>电子化处理，</w:t>
      </w:r>
      <w:r>
        <w:rPr>
          <w:rFonts w:hint="eastAsia" w:eastAsia="仿宋_GB2312"/>
          <w:color w:val="000000"/>
          <w:kern w:val="0"/>
          <w:sz w:val="32"/>
          <w:szCs w:val="32"/>
        </w:rPr>
        <w:t>将</w:t>
      </w:r>
      <w:r>
        <w:rPr>
          <w:rFonts w:eastAsia="仿宋_GB2312"/>
          <w:color w:val="000000"/>
          <w:kern w:val="0"/>
          <w:sz w:val="32"/>
          <w:szCs w:val="32"/>
        </w:rPr>
        <w:t>投资项目审批进度</w:t>
      </w:r>
      <w:r>
        <w:rPr>
          <w:rFonts w:hint="eastAsia" w:eastAsia="仿宋_GB2312"/>
          <w:color w:val="000000"/>
          <w:kern w:val="0"/>
          <w:sz w:val="32"/>
          <w:szCs w:val="32"/>
        </w:rPr>
        <w:t>在区</w:t>
      </w:r>
      <w:r>
        <w:rPr>
          <w:rFonts w:eastAsia="仿宋_GB2312"/>
          <w:color w:val="000000"/>
          <w:kern w:val="0"/>
          <w:sz w:val="32"/>
          <w:szCs w:val="32"/>
        </w:rPr>
        <w:t>发改委政务网站</w:t>
      </w:r>
      <w:r>
        <w:rPr>
          <w:rFonts w:hint="eastAsia" w:eastAsia="仿宋_GB2312"/>
          <w:color w:val="000000"/>
          <w:kern w:val="0"/>
          <w:sz w:val="32"/>
          <w:szCs w:val="32"/>
        </w:rPr>
        <w:t>予以</w:t>
      </w:r>
      <w:r>
        <w:rPr>
          <w:rFonts w:eastAsia="仿宋_GB2312"/>
          <w:color w:val="000000"/>
          <w:kern w:val="0"/>
          <w:sz w:val="32"/>
          <w:szCs w:val="32"/>
        </w:rPr>
        <w:t>公开，方便</w:t>
      </w:r>
      <w:r>
        <w:rPr>
          <w:rFonts w:hint="eastAsia" w:eastAsia="仿宋_GB2312"/>
          <w:color w:val="000000"/>
          <w:kern w:val="0"/>
          <w:sz w:val="32"/>
          <w:szCs w:val="32"/>
        </w:rPr>
        <w:t>了</w:t>
      </w:r>
      <w:r>
        <w:rPr>
          <w:rFonts w:eastAsia="仿宋_GB2312"/>
          <w:color w:val="000000"/>
          <w:kern w:val="0"/>
          <w:sz w:val="32"/>
          <w:szCs w:val="32"/>
        </w:rPr>
        <w:t>投资单位及时查询项目审批进展</w:t>
      </w:r>
      <w:r>
        <w:rPr>
          <w:rFonts w:hint="eastAsia" w:eastAsia="仿宋_GB2312"/>
          <w:color w:val="000000"/>
          <w:kern w:val="0"/>
          <w:sz w:val="32"/>
          <w:szCs w:val="32"/>
        </w:rPr>
        <w:t>，</w:t>
      </w:r>
      <w:r>
        <w:rPr>
          <w:rFonts w:ascii="Times New Roman" w:hAnsi="Times New Roman" w:eastAsia="仿宋_GB2312"/>
          <w:color w:val="000000"/>
          <w:kern w:val="0"/>
          <w:sz w:val="32"/>
          <w:szCs w:val="32"/>
        </w:rPr>
        <w:t>接受社会监督提高审批办理效率，</w:t>
      </w:r>
      <w:r>
        <w:rPr>
          <w:rFonts w:ascii="Times New Roman" w:hAnsi="Times New Roman" w:eastAsia="仿宋_GB2312"/>
          <w:color w:val="000000"/>
          <w:sz w:val="32"/>
          <w:szCs w:val="32"/>
        </w:rPr>
        <w:t>不断提升生态岛建设投资环境</w:t>
      </w:r>
      <w:r>
        <w:rPr>
          <w:rFonts w:hint="eastAsia" w:ascii="Times New Roman" w:hAnsi="Times New Roman" w:eastAsia="仿宋_GB2312"/>
          <w:color w:val="000000"/>
          <w:sz w:val="32"/>
          <w:szCs w:val="32"/>
        </w:rPr>
        <w:t>。</w:t>
      </w:r>
    </w:p>
    <w:p w14:paraId="54FE5FBE">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leftChars="0" w:right="0" w:rightChars="0" w:firstLine="642"/>
        <w:jc w:val="left"/>
        <w:textAlignment w:val="auto"/>
        <w:outlineLvl w:val="9"/>
        <w:rPr>
          <w:rFonts w:hint="default" w:ascii="Times New Roman" w:hAnsi="Times New Roman" w:eastAsia="仿宋_GB2312"/>
          <w:color w:val="000000"/>
          <w:sz w:val="32"/>
          <w:szCs w:val="32"/>
          <w:lang w:val="en-US" w:eastAsia="zh-CN"/>
        </w:rPr>
      </w:pPr>
      <w:r>
        <w:rPr>
          <w:rFonts w:hint="eastAsia" w:ascii="Times New Roman" w:hAnsi="Times New Roman" w:eastAsia="仿宋_GB2312"/>
          <w:color w:val="000000"/>
          <w:sz w:val="32"/>
          <w:szCs w:val="32"/>
          <w:lang w:val="en-US" w:eastAsia="zh-CN"/>
        </w:rPr>
        <w:t>2024年度共收到行政许可申请11件，受理11件，不予受理0件，批准11件，按期办结11件。具体为：固定资产投资项目核准（含国发〔2016〕72号文件规定的外商投资项目）10件，固定资产投资项目节能审查1件。</w:t>
      </w:r>
    </w:p>
    <w:p w14:paraId="174EEB29">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leftChars="0" w:right="0" w:rightChars="0" w:firstLine="640" w:firstLineChars="200"/>
        <w:textAlignment w:val="auto"/>
        <w:outlineLvl w:val="9"/>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三、批后监管开展情况</w:t>
      </w:r>
    </w:p>
    <w:p w14:paraId="15FA5DC8">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leftChars="0" w:right="0" w:rightChars="0" w:firstLine="642"/>
        <w:jc w:val="left"/>
        <w:textAlignment w:val="auto"/>
        <w:outlineLvl w:val="9"/>
        <w:rPr>
          <w:rFonts w:hint="eastAsia" w:ascii="Times New Roman" w:hAnsi="Times New Roman" w:eastAsia="仿宋_GB2312"/>
          <w:color w:val="000000"/>
          <w:sz w:val="32"/>
          <w:szCs w:val="32"/>
          <w:lang w:val="en-US" w:eastAsia="zh-CN"/>
        </w:rPr>
      </w:pPr>
      <w:r>
        <w:rPr>
          <w:rFonts w:hint="eastAsia" w:ascii="Times New Roman" w:hAnsi="Times New Roman" w:eastAsia="仿宋_GB2312"/>
          <w:color w:val="000000"/>
          <w:sz w:val="32"/>
          <w:szCs w:val="32"/>
          <w:lang w:val="en-US" w:eastAsia="zh-CN"/>
        </w:rPr>
        <w:t>我委在前期出台我区政府投资项目“1+8”管理框架的基础上，结合当前实际，出台《上海市崇明区政府投资项目事前事中事后监管操作细则》(沪崇发改〔2022〕197号)。推动投资管理重心从事前审批转向过程服务和事中事后监管，进一步加强政府投资项目监管。在事前事中事后操作细则中进一步明确了“事前分类监管”、“事中强化线上线下双监管”以及“区级重点项目分级监管”等规定。此外，对已开展节能审查的在建项目，持续做好事中事后监管，督查企业及时准备节能验收相关材料，严格按照各项工作要求落实好节能验收相关工作。</w:t>
      </w:r>
    </w:p>
    <w:p w14:paraId="6C24941D">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leftChars="0" w:right="0" w:rightChars="0" w:firstLine="640" w:firstLineChars="200"/>
        <w:textAlignment w:val="auto"/>
        <w:outlineLvl w:val="9"/>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四、改革创新情况</w:t>
      </w:r>
    </w:p>
    <w:p w14:paraId="5B7F7759">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leftChars="0" w:right="0" w:rightChars="0" w:firstLine="642"/>
        <w:jc w:val="left"/>
        <w:textAlignment w:val="auto"/>
        <w:outlineLvl w:val="9"/>
        <w:rPr>
          <w:rFonts w:hint="eastAsia" w:ascii="Times New Roman" w:hAnsi="Times New Roman" w:eastAsia="仿宋_GB2312"/>
          <w:color w:val="000000"/>
          <w:sz w:val="32"/>
          <w:szCs w:val="32"/>
          <w:lang w:eastAsia="zh-CN"/>
        </w:rPr>
      </w:pPr>
      <w:r>
        <w:rPr>
          <w:rFonts w:hint="eastAsia" w:ascii="Times New Roman" w:hAnsi="Times New Roman" w:eastAsia="仿宋_GB2312"/>
          <w:color w:val="000000"/>
          <w:sz w:val="32"/>
          <w:szCs w:val="32"/>
          <w:lang w:val="en-US" w:eastAsia="zh-CN"/>
        </w:rPr>
        <w:t>目前</w:t>
      </w:r>
      <w:r>
        <w:rPr>
          <w:rFonts w:hint="eastAsia" w:ascii="Times New Roman" w:hAnsi="Times New Roman" w:eastAsia="仿宋_GB2312"/>
          <w:color w:val="000000"/>
          <w:sz w:val="32"/>
          <w:szCs w:val="32"/>
        </w:rPr>
        <w:t>实行备案制的项目，企业按照《上海市政府备案的投资项目目录》，只需通过在线平台申报，再将备案信息告知项目备案机关即可，项目备案表也可由企业自行网上打印。针对这一情况，我委及时掌握备案流程，熟悉操作界面，耐心解答企业在网上自行申报中出现的各类问题</w:t>
      </w:r>
      <w:r>
        <w:rPr>
          <w:rFonts w:hint="eastAsia" w:ascii="Times New Roman" w:hAnsi="Times New Roman" w:eastAsia="仿宋_GB2312"/>
          <w:color w:val="000000"/>
          <w:sz w:val="32"/>
          <w:szCs w:val="32"/>
          <w:lang w:eastAsia="zh-CN"/>
        </w:rPr>
        <w:t>。</w:t>
      </w:r>
    </w:p>
    <w:p w14:paraId="7C47F0AF">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640" w:leftChars="0" w:right="0" w:rightChars="0" w:firstLine="0" w:firstLineChars="0"/>
        <w:textAlignment w:val="auto"/>
        <w:outlineLvl w:val="9"/>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五、监督纠正情况</w:t>
      </w:r>
    </w:p>
    <w:p w14:paraId="0E71D726">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leftChars="0" w:right="0" w:rightChars="0" w:firstLine="642"/>
        <w:jc w:val="left"/>
        <w:textAlignment w:val="auto"/>
        <w:outlineLvl w:val="9"/>
        <w:rPr>
          <w:rFonts w:hint="eastAsia" w:ascii="Times New Roman" w:hAnsi="Times New Roman" w:eastAsia="仿宋_GB2312"/>
          <w:color w:val="000000"/>
          <w:sz w:val="32"/>
          <w:szCs w:val="32"/>
          <w:lang w:val="en-US" w:eastAsia="zh-CN"/>
        </w:rPr>
      </w:pPr>
      <w:r>
        <w:rPr>
          <w:rFonts w:hint="eastAsia" w:ascii="Times New Roman" w:hAnsi="Times New Roman" w:eastAsia="仿宋_GB2312"/>
          <w:color w:val="000000"/>
          <w:sz w:val="32"/>
          <w:szCs w:val="32"/>
          <w:lang w:val="en-US" w:eastAsia="zh-CN"/>
        </w:rPr>
        <w:t>2022年我委出台《崇明区发展改革委核准及备案的企业投资项目事中事后监管实施方案(试行)》(沪崇发改〔2022〕195号)，要求我委相关科室落实执行。按照“谁审批、谁监管，谁主管、谁监管”的原则，对2017年2月1日《企业投资项目核准和备案管理条例》施行后，区发展改革委核准及备案的企业投资项目开展事中事后监管，落实“双随机、一公开”工作要求，坚持依法监管、寓管于服、科学高效，实现项目信息在线报备和监测全覆盖，已开工项目现场核查常态化。我委核准及备案的企业投资项目事中事后监管主要包括在线监测、现场核查、行政检查和处罚三方面内容。</w:t>
      </w:r>
    </w:p>
    <w:p w14:paraId="6AAE55C7">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640" w:leftChars="0" w:right="0" w:rightChars="0" w:firstLine="0" w:firstLineChars="0"/>
        <w:textAlignment w:val="auto"/>
        <w:outlineLvl w:val="9"/>
        <w:rPr>
          <w:rFonts w:hint="eastAsia" w:ascii="仿宋_GB2312" w:hAnsi="华文中宋" w:eastAsia="仿宋_GB2312"/>
          <w:color w:val="000000"/>
          <w:sz w:val="32"/>
          <w:szCs w:val="32"/>
          <w:lang w:val="en-US" w:eastAsia="zh-CN"/>
        </w:rPr>
      </w:pPr>
      <w:r>
        <w:rPr>
          <w:rFonts w:hint="eastAsia" w:ascii="黑体" w:hAnsi="黑体" w:eastAsia="黑体" w:cs="黑体"/>
          <w:sz w:val="32"/>
          <w:szCs w:val="32"/>
          <w:lang w:val="en-US" w:eastAsia="zh-CN"/>
        </w:rPr>
        <w:t>六、存在的主要问题及改进情况</w:t>
      </w:r>
    </w:p>
    <w:p w14:paraId="385184C7">
      <w:pPr>
        <w:keepNext w:val="0"/>
        <w:keepLines w:val="0"/>
        <w:pageBreakBefore w:val="0"/>
        <w:widowControl w:val="0"/>
        <w:numPr>
          <w:ilvl w:val="0"/>
          <w:numId w:val="1"/>
        </w:numPr>
        <w:kinsoku/>
        <w:wordWrap/>
        <w:overflowPunct/>
        <w:topLinePunct w:val="0"/>
        <w:autoSpaceDE/>
        <w:autoSpaceDN/>
        <w:bidi w:val="0"/>
        <w:adjustRightInd/>
        <w:snapToGrid/>
        <w:spacing w:line="540" w:lineRule="exact"/>
        <w:ind w:left="0" w:leftChars="0" w:right="0" w:rightChars="0" w:firstLine="640" w:firstLineChars="0"/>
        <w:jc w:val="left"/>
        <w:textAlignment w:val="auto"/>
        <w:outlineLvl w:val="9"/>
        <w:rPr>
          <w:rFonts w:hint="eastAsia" w:ascii="仿宋_GB2312" w:hAnsi="华文中宋" w:eastAsia="仿宋_GB2312"/>
          <w:color w:val="000000"/>
          <w:sz w:val="32"/>
          <w:szCs w:val="32"/>
          <w:lang w:val="en-US" w:eastAsia="zh-CN"/>
        </w:rPr>
      </w:pPr>
      <w:r>
        <w:rPr>
          <w:rFonts w:hint="eastAsia" w:ascii="楷体_GB2312" w:hAnsi="楷体_GB2312" w:eastAsia="楷体_GB2312" w:cs="楷体_GB2312"/>
          <w:b/>
          <w:bCs/>
          <w:color w:val="000000"/>
          <w:sz w:val="32"/>
          <w:szCs w:val="32"/>
          <w:lang w:val="en-US" w:eastAsia="zh-CN"/>
        </w:rPr>
        <w:t>目标：</w:t>
      </w:r>
      <w:r>
        <w:rPr>
          <w:rFonts w:hint="eastAsia" w:ascii="仿宋_GB2312" w:hAnsi="华文中宋" w:eastAsia="仿宋_GB2312"/>
          <w:color w:val="000000"/>
          <w:sz w:val="32"/>
          <w:szCs w:val="32"/>
        </w:rPr>
        <w:t>坚持问题导向</w:t>
      </w:r>
      <w:r>
        <w:rPr>
          <w:rFonts w:hint="eastAsia" w:ascii="仿宋_GB2312" w:hAnsi="华文中宋" w:eastAsia="仿宋_GB2312"/>
          <w:color w:val="000000"/>
          <w:sz w:val="32"/>
          <w:szCs w:val="32"/>
          <w:lang w:eastAsia="zh-CN"/>
        </w:rPr>
        <w:t>、需求导向</w:t>
      </w:r>
      <w:r>
        <w:rPr>
          <w:rFonts w:hint="eastAsia" w:ascii="仿宋_GB2312" w:hAnsi="华文中宋" w:eastAsia="仿宋_GB2312"/>
          <w:color w:val="000000"/>
          <w:sz w:val="32"/>
          <w:szCs w:val="32"/>
        </w:rPr>
        <w:t>，与</w:t>
      </w:r>
      <w:r>
        <w:rPr>
          <w:rFonts w:hint="eastAsia" w:ascii="仿宋_GB2312" w:hAnsi="华文中宋" w:eastAsia="仿宋_GB2312"/>
          <w:color w:val="000000"/>
          <w:sz w:val="32"/>
          <w:szCs w:val="32"/>
          <w:lang w:eastAsia="zh-CN"/>
        </w:rPr>
        <w:t>我委</w:t>
      </w:r>
      <w:r>
        <w:rPr>
          <w:rFonts w:hint="eastAsia" w:ascii="仿宋_GB2312" w:hAnsi="华文中宋" w:eastAsia="仿宋_GB2312"/>
          <w:color w:val="000000"/>
          <w:sz w:val="32"/>
          <w:szCs w:val="32"/>
        </w:rPr>
        <w:t>职能实际</w:t>
      </w:r>
      <w:r>
        <w:rPr>
          <w:rFonts w:hint="eastAsia" w:ascii="仿宋_GB2312" w:hAnsi="华文中宋" w:eastAsia="仿宋_GB2312"/>
          <w:color w:val="000000"/>
          <w:sz w:val="32"/>
          <w:szCs w:val="32"/>
          <w:lang w:eastAsia="zh-CN"/>
        </w:rPr>
        <w:t>和我区世界级生态岛建设</w:t>
      </w:r>
      <w:r>
        <w:rPr>
          <w:rFonts w:hint="eastAsia" w:ascii="仿宋_GB2312" w:hAnsi="华文中宋" w:eastAsia="仿宋_GB2312"/>
          <w:color w:val="000000"/>
          <w:sz w:val="32"/>
          <w:szCs w:val="32"/>
        </w:rPr>
        <w:t>发展</w:t>
      </w:r>
      <w:r>
        <w:rPr>
          <w:rFonts w:hint="eastAsia" w:ascii="仿宋_GB2312" w:hAnsi="华文中宋" w:eastAsia="仿宋_GB2312"/>
          <w:color w:val="000000"/>
          <w:sz w:val="32"/>
          <w:szCs w:val="32"/>
          <w:lang w:eastAsia="zh-CN"/>
        </w:rPr>
        <w:t>战略</w:t>
      </w:r>
      <w:r>
        <w:rPr>
          <w:rFonts w:hint="eastAsia" w:ascii="仿宋_GB2312" w:hAnsi="华文中宋" w:eastAsia="仿宋_GB2312"/>
          <w:color w:val="000000"/>
          <w:sz w:val="32"/>
          <w:szCs w:val="32"/>
        </w:rPr>
        <w:t>有机结合，深层次推进落实简政放权、放管结合、优化服务</w:t>
      </w:r>
      <w:r>
        <w:rPr>
          <w:rFonts w:hint="eastAsia" w:ascii="仿宋_GB2312" w:hAnsi="华文中宋" w:eastAsia="仿宋_GB2312"/>
          <w:color w:val="000000"/>
          <w:sz w:val="32"/>
          <w:szCs w:val="32"/>
          <w:lang w:eastAsia="zh-CN"/>
        </w:rPr>
        <w:t>工作。</w:t>
      </w:r>
    </w:p>
    <w:p w14:paraId="6E1F094C">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leftChars="0" w:right="0" w:rightChars="0" w:firstLine="640"/>
        <w:jc w:val="left"/>
        <w:textAlignment w:val="auto"/>
        <w:outlineLvl w:val="9"/>
        <w:rPr>
          <w:rFonts w:hint="eastAsia" w:ascii="楷体_GB2312" w:hAnsi="楷体_GB2312" w:eastAsia="楷体_GB2312" w:cs="楷体_GB2312"/>
          <w:b/>
          <w:bCs/>
          <w:color w:val="000000"/>
          <w:sz w:val="32"/>
          <w:szCs w:val="32"/>
          <w:lang w:val="en-US" w:eastAsia="zh-CN"/>
        </w:rPr>
      </w:pPr>
      <w:r>
        <w:rPr>
          <w:rFonts w:hint="eastAsia" w:ascii="楷体_GB2312" w:hAnsi="楷体_GB2312" w:eastAsia="楷体_GB2312" w:cs="楷体_GB2312"/>
          <w:b/>
          <w:bCs/>
          <w:color w:val="000000"/>
          <w:sz w:val="32"/>
          <w:szCs w:val="32"/>
          <w:lang w:val="en-US" w:eastAsia="zh-CN"/>
        </w:rPr>
        <w:t>（二）具体举措：</w:t>
      </w:r>
    </w:p>
    <w:p w14:paraId="07CB7FA5">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leftChars="0" w:right="0" w:rightChars="0"/>
        <w:jc w:val="left"/>
        <w:textAlignment w:val="auto"/>
        <w:outlineLvl w:val="9"/>
        <w:rPr>
          <w:rFonts w:hint="eastAsia" w:ascii="仿宋_GB2312" w:hAnsi="华文中宋" w:eastAsia="仿宋_GB2312"/>
          <w:color w:val="000000"/>
          <w:sz w:val="32"/>
          <w:szCs w:val="32"/>
          <w:lang w:eastAsia="zh-CN"/>
        </w:rPr>
      </w:pPr>
      <w:r>
        <w:rPr>
          <w:rFonts w:hint="eastAsia" w:ascii="仿宋_GB2312" w:hAnsi="华文中宋" w:eastAsia="仿宋_GB2312"/>
          <w:color w:val="000000"/>
          <w:sz w:val="32"/>
          <w:szCs w:val="32"/>
          <w:lang w:val="en-US" w:eastAsia="zh-CN"/>
        </w:rPr>
        <w:t xml:space="preserve">   </w:t>
      </w:r>
      <w:r>
        <w:rPr>
          <w:rFonts w:hint="eastAsia" w:ascii="仿宋_GB2312" w:hAnsi="华文中宋" w:eastAsia="仿宋_GB2312"/>
          <w:b/>
          <w:bCs/>
          <w:color w:val="000000"/>
          <w:sz w:val="32"/>
          <w:szCs w:val="32"/>
          <w:lang w:val="en-US" w:eastAsia="zh-CN"/>
        </w:rPr>
        <w:t xml:space="preserve"> 1、</w:t>
      </w:r>
      <w:r>
        <w:rPr>
          <w:rFonts w:hint="eastAsia" w:ascii="仿宋_GB2312" w:hAnsi="华文中宋" w:eastAsia="仿宋_GB2312"/>
          <w:b/>
          <w:bCs/>
          <w:color w:val="000000"/>
          <w:sz w:val="32"/>
          <w:szCs w:val="32"/>
          <w:lang w:eastAsia="zh-CN"/>
        </w:rPr>
        <w:t>及时承接落实改革事项。</w:t>
      </w:r>
      <w:r>
        <w:rPr>
          <w:rFonts w:hint="eastAsia" w:ascii="仿宋_GB2312" w:hAnsi="华文中宋" w:eastAsia="仿宋_GB2312"/>
          <w:color w:val="000000"/>
          <w:sz w:val="32"/>
          <w:szCs w:val="32"/>
          <w:lang w:eastAsia="zh-CN"/>
        </w:rPr>
        <w:t>全面贯彻落实上级部门审批权限下放的一系列政策措施，切实转变职能，做好审批权限下放接管工作。积极开展政策学习，尽快明确办理流程和工作事项，确保了各类下放审批事项接管顺利运行流畅。</w:t>
      </w:r>
    </w:p>
    <w:p w14:paraId="660C2D14">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leftChars="0" w:right="0" w:rightChars="0" w:firstLine="640"/>
        <w:jc w:val="left"/>
        <w:textAlignment w:val="auto"/>
        <w:outlineLvl w:val="9"/>
        <w:rPr>
          <w:rFonts w:hint="eastAsia" w:ascii="黑体" w:hAnsi="黑体" w:eastAsia="黑体" w:cs="黑体"/>
          <w:sz w:val="32"/>
          <w:szCs w:val="32"/>
          <w:lang w:val="en-US" w:eastAsia="zh-CN"/>
        </w:rPr>
      </w:pPr>
      <w:r>
        <w:rPr>
          <w:rFonts w:hint="eastAsia" w:ascii="仿宋_GB2312" w:hAnsi="华文中宋" w:eastAsia="仿宋_GB2312"/>
          <w:b/>
          <w:bCs/>
          <w:color w:val="000000"/>
          <w:sz w:val="32"/>
          <w:szCs w:val="32"/>
          <w:lang w:val="en-US" w:eastAsia="zh-CN"/>
        </w:rPr>
        <w:t>2、</w:t>
      </w:r>
      <w:r>
        <w:rPr>
          <w:rFonts w:hint="eastAsia" w:ascii="仿宋_GB2312" w:hAnsi="华文中宋" w:eastAsia="仿宋_GB2312"/>
          <w:b/>
          <w:bCs/>
          <w:color w:val="000000"/>
          <w:sz w:val="32"/>
          <w:szCs w:val="32"/>
          <w:lang w:eastAsia="zh-CN"/>
        </w:rPr>
        <w:t>大力提升审批服务水平。</w:t>
      </w:r>
      <w:r>
        <w:rPr>
          <w:rFonts w:hint="eastAsia" w:ascii="仿宋_GB2312" w:hAnsi="华文中宋" w:eastAsia="仿宋_GB2312"/>
          <w:color w:val="000000"/>
          <w:sz w:val="32"/>
          <w:szCs w:val="32"/>
          <w:lang w:eastAsia="zh-CN"/>
        </w:rPr>
        <w:t>进一步完善项目申报审批程序，根据最新工作要求，动态调整权责清单和相关办事指南。围绕优化行政审批流程，进一步探索开展项目并联审批工作，通过减少申报材料，精简审批环节，简化审批程序，优化审批流程，进一步缩短办理时间，落实审批责任，规范审批行为。</w:t>
      </w:r>
    </w:p>
    <w:p w14:paraId="31221937">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leftChars="0" w:right="0" w:rightChars="0" w:firstLine="540"/>
        <w:jc w:val="left"/>
        <w:textAlignment w:val="auto"/>
        <w:outlineLvl w:val="9"/>
        <w:rPr>
          <w:rFonts w:hint="eastAsia" w:ascii="仿宋_GB2312" w:hAnsi="华文中宋" w:eastAsia="仿宋_GB2312"/>
          <w:color w:val="000000"/>
          <w:sz w:val="32"/>
          <w:szCs w:val="32"/>
          <w:lang w:eastAsia="zh-CN"/>
        </w:rPr>
      </w:pPr>
      <w:r>
        <w:rPr>
          <w:rFonts w:hint="eastAsia" w:ascii="黑体" w:hAnsi="黑体" w:eastAsia="黑体" w:cs="黑体"/>
          <w:sz w:val="32"/>
          <w:szCs w:val="32"/>
          <w:lang w:val="en-US" w:eastAsia="zh-CN"/>
        </w:rPr>
        <w:t xml:space="preserve">  </w:t>
      </w:r>
    </w:p>
    <w:p w14:paraId="2CC4A0BE">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leftChars="0" w:right="0" w:rightChars="0" w:firstLine="540"/>
        <w:jc w:val="left"/>
        <w:textAlignment w:val="auto"/>
        <w:outlineLvl w:val="9"/>
        <w:rPr>
          <w:rFonts w:hint="default" w:ascii="仿宋_GB2312" w:hAnsi="华文中宋" w:eastAsia="仿宋_GB2312"/>
          <w:color w:val="000000"/>
          <w:sz w:val="32"/>
          <w:szCs w:val="32"/>
          <w:lang w:val="en-US" w:eastAsia="zh-CN"/>
        </w:rPr>
      </w:pPr>
      <w:r>
        <w:rPr>
          <w:rFonts w:hint="default" w:ascii="仿宋_GB2312" w:hAnsi="华文中宋" w:eastAsia="仿宋_GB2312"/>
          <w:color w:val="000000"/>
          <w:sz w:val="32"/>
          <w:szCs w:val="32"/>
          <w:lang w:val="en-US" w:eastAsia="zh-CN"/>
        </w:rPr>
        <w:t xml:space="preserve">   </w:t>
      </w:r>
    </w:p>
    <w:p w14:paraId="33E6A804">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leftChars="0" w:right="0" w:rightChars="0" w:firstLine="540"/>
        <w:jc w:val="left"/>
        <w:textAlignment w:val="auto"/>
        <w:outlineLvl w:val="9"/>
        <w:rPr>
          <w:rFonts w:hint="eastAsia" w:ascii="仿宋_GB2312" w:hAnsi="华文中宋" w:eastAsia="仿宋_GB2312"/>
          <w:color w:val="000000"/>
          <w:sz w:val="32"/>
          <w:szCs w:val="32"/>
          <w:lang w:val="en-US" w:eastAsia="zh-CN"/>
        </w:rPr>
      </w:pPr>
      <w:r>
        <w:rPr>
          <w:rFonts w:hint="default" w:ascii="仿宋_GB2312" w:hAnsi="华文中宋" w:eastAsia="仿宋_GB2312"/>
          <w:color w:val="000000"/>
          <w:sz w:val="32"/>
          <w:szCs w:val="32"/>
          <w:lang w:val="en-US" w:eastAsia="zh-CN"/>
        </w:rPr>
        <w:t xml:space="preserve">                      </w:t>
      </w:r>
      <w:r>
        <w:rPr>
          <w:rFonts w:hint="eastAsia" w:ascii="仿宋_GB2312" w:hAnsi="华文中宋" w:eastAsia="仿宋_GB2312"/>
          <w:color w:val="000000"/>
          <w:sz w:val="32"/>
          <w:szCs w:val="32"/>
          <w:lang w:val="en-US" w:eastAsia="zh-CN"/>
        </w:rPr>
        <w:t>上海市崇明区发展和改革委员会</w:t>
      </w:r>
    </w:p>
    <w:p w14:paraId="74705FCD">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leftChars="0" w:right="0" w:rightChars="0" w:firstLine="540"/>
        <w:jc w:val="left"/>
        <w:textAlignment w:val="auto"/>
        <w:outlineLvl w:val="9"/>
        <w:rPr>
          <w:rFonts w:hint="eastAsia" w:ascii="仿宋_GB2312" w:hAnsi="华文中宋" w:eastAsia="仿宋_GB2312"/>
          <w:color w:val="000000"/>
          <w:sz w:val="32"/>
          <w:szCs w:val="32"/>
          <w:lang w:val="en-US" w:eastAsia="zh-CN"/>
        </w:rPr>
      </w:pPr>
      <w:r>
        <w:rPr>
          <w:rFonts w:hint="eastAsia" w:ascii="仿宋_GB2312" w:hAnsi="华文中宋" w:eastAsia="仿宋_GB2312"/>
          <w:color w:val="000000"/>
          <w:sz w:val="32"/>
          <w:szCs w:val="32"/>
          <w:lang w:val="en-US" w:eastAsia="zh-CN"/>
        </w:rPr>
        <w:t xml:space="preserve">                               2025年2月25日</w:t>
      </w:r>
    </w:p>
    <w:p w14:paraId="5EBBFB14">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leftChars="0" w:right="0" w:rightChars="0" w:firstLine="540"/>
        <w:jc w:val="left"/>
        <w:textAlignment w:val="auto"/>
        <w:outlineLvl w:val="9"/>
        <w:rPr>
          <w:rFonts w:hint="eastAsia" w:ascii="仿宋_GB2312" w:hAnsi="华文中宋" w:eastAsia="仿宋_GB2312"/>
          <w:color w:val="000000"/>
          <w:sz w:val="32"/>
          <w:szCs w:val="32"/>
          <w:lang w:val="en-US" w:eastAsia="zh-CN"/>
        </w:rPr>
      </w:pPr>
    </w:p>
    <w:sectPr>
      <w:headerReference r:id="rId3" w:type="default"/>
      <w:footerReference r:id="rId4" w:type="default"/>
      <w:pgSz w:w="11906" w:h="16838"/>
      <w:pgMar w:top="2098" w:right="1474" w:bottom="1984" w:left="1587"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5BF1CD">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0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54A4A8C2">
                          <w:pPr>
                            <w:snapToGrid w:val="0"/>
                            <w:rPr>
                              <w:rFonts w:hint="eastAsia" w:eastAsia="宋体"/>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sz w:val="18"/>
                            </w:rPr>
                            <w:t>1</w:t>
                          </w:r>
                          <w:r>
                            <w:rPr>
                              <w:rFonts w:hint="eastAsia"/>
                              <w:sz w:val="18"/>
                              <w:lang w:eastAsia="zh-CN"/>
                            </w:rPr>
                            <w:fldChar w:fldCharType="end"/>
                          </w:r>
                        </w:p>
                      </w:txbxContent>
                    </wps:txbx>
                    <wps:bodyPr vert="horz" wrap="none" lIns="0" tIns="0" rIns="0" bIns="0" anchor="t" anchorCtr="0" upright="0">
                      <a:spAutoFit/>
                    </wps:bodyPr>
                  </wps:wsp>
                </a:graphicData>
              </a:graphic>
            </wp:anchor>
          </w:drawing>
        </mc:Choice>
        <mc:Fallback>
          <w:pict>
            <v:shape id="文本框 1025"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AAAAAGRycy9QSwECFAAUAAAACACHTuJAzql5uc8AAAAFAQAADwAAAAAAAAAB&#10;ACAAAAAiAAAAZHJzL2Rvd25yZXYueG1sUEsBAhQAFAAAAAgAh07iQLK+nM7gAQAAwQMAAA4AAAAA&#10;AAAAAQAgAAAAHgEAAGRycy9lMm9Eb2MueG1sUEsFBgAAAAAGAAYAWQEAAHAFAAAAAA==&#10;">
              <v:fill on="f" focussize="0,0"/>
              <v:stroke on="f"/>
              <v:imagedata o:title=""/>
              <o:lock v:ext="edit" aspectratio="f"/>
              <v:textbox inset="0mm,0mm,0mm,0mm" style="mso-fit-shape-to-text:t;">
                <w:txbxContent>
                  <w:p w14:paraId="54A4A8C2">
                    <w:pPr>
                      <w:snapToGrid w:val="0"/>
                      <w:rPr>
                        <w:rFonts w:hint="eastAsia" w:eastAsia="宋体"/>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sz w:val="18"/>
                      </w:rPr>
                      <w:t>1</w:t>
                    </w:r>
                    <w:r>
                      <w:rPr>
                        <w:rFonts w:hint="eastAsia"/>
                        <w:sz w:val="18"/>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0D1CCB">
    <w:pPr>
      <w:pStyle w:val="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6D4FE88"/>
    <w:multiLevelType w:val="singleLevel"/>
    <w:tmpl w:val="86D4FE88"/>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diNzZiMzFlM2Y5ZGMwNDIzZTc0MTdlYWEyYWZlN2YifQ=="/>
  </w:docVars>
  <w:rsids>
    <w:rsidRoot w:val="00172A27"/>
    <w:rsid w:val="0000724C"/>
    <w:rsid w:val="00BB216A"/>
    <w:rsid w:val="00E6390B"/>
    <w:rsid w:val="01A166F2"/>
    <w:rsid w:val="01F51E2C"/>
    <w:rsid w:val="026D3BB8"/>
    <w:rsid w:val="02A84BD0"/>
    <w:rsid w:val="02D329F8"/>
    <w:rsid w:val="03014E0B"/>
    <w:rsid w:val="045F5D96"/>
    <w:rsid w:val="056E1201"/>
    <w:rsid w:val="06112F90"/>
    <w:rsid w:val="06325951"/>
    <w:rsid w:val="06B60C84"/>
    <w:rsid w:val="06BA5AAA"/>
    <w:rsid w:val="078006E2"/>
    <w:rsid w:val="093258C5"/>
    <w:rsid w:val="0A5A5AB5"/>
    <w:rsid w:val="0AB7038B"/>
    <w:rsid w:val="0AC0464E"/>
    <w:rsid w:val="0AD67801"/>
    <w:rsid w:val="0B573970"/>
    <w:rsid w:val="0BF57AF9"/>
    <w:rsid w:val="0BFB5AF7"/>
    <w:rsid w:val="0C795527"/>
    <w:rsid w:val="0CF26DFC"/>
    <w:rsid w:val="0DAE628F"/>
    <w:rsid w:val="0DEE578D"/>
    <w:rsid w:val="0E2C728A"/>
    <w:rsid w:val="0EA90DD3"/>
    <w:rsid w:val="0EAC3F7C"/>
    <w:rsid w:val="0F2B5E54"/>
    <w:rsid w:val="0F9A1571"/>
    <w:rsid w:val="0FA85D46"/>
    <w:rsid w:val="104F446C"/>
    <w:rsid w:val="10BE08D4"/>
    <w:rsid w:val="113A4378"/>
    <w:rsid w:val="11F86D7F"/>
    <w:rsid w:val="15DF58A8"/>
    <w:rsid w:val="16351E6F"/>
    <w:rsid w:val="16DE6CE1"/>
    <w:rsid w:val="171372A4"/>
    <w:rsid w:val="182C4F00"/>
    <w:rsid w:val="19B17DBF"/>
    <w:rsid w:val="19C108BD"/>
    <w:rsid w:val="19CA6E0B"/>
    <w:rsid w:val="19EC1D54"/>
    <w:rsid w:val="1B7F6A6E"/>
    <w:rsid w:val="1BA6073D"/>
    <w:rsid w:val="1BD81DC7"/>
    <w:rsid w:val="1C1D0104"/>
    <w:rsid w:val="1CEE3EF2"/>
    <w:rsid w:val="1CF9235D"/>
    <w:rsid w:val="1CFC501A"/>
    <w:rsid w:val="1D9623D4"/>
    <w:rsid w:val="1EE67BE5"/>
    <w:rsid w:val="1F8F087D"/>
    <w:rsid w:val="1FD67C68"/>
    <w:rsid w:val="20106534"/>
    <w:rsid w:val="20366174"/>
    <w:rsid w:val="205462A6"/>
    <w:rsid w:val="21037FB1"/>
    <w:rsid w:val="21EC5515"/>
    <w:rsid w:val="224B338F"/>
    <w:rsid w:val="225572BA"/>
    <w:rsid w:val="22860CD6"/>
    <w:rsid w:val="23627647"/>
    <w:rsid w:val="243957AF"/>
    <w:rsid w:val="249D01AA"/>
    <w:rsid w:val="24BC245F"/>
    <w:rsid w:val="260160DE"/>
    <w:rsid w:val="26845B86"/>
    <w:rsid w:val="272A2C12"/>
    <w:rsid w:val="27952900"/>
    <w:rsid w:val="289C1BBB"/>
    <w:rsid w:val="29D06681"/>
    <w:rsid w:val="29D3226B"/>
    <w:rsid w:val="29E80C9A"/>
    <w:rsid w:val="2A7B6ADE"/>
    <w:rsid w:val="2AF3459E"/>
    <w:rsid w:val="2B6A6681"/>
    <w:rsid w:val="2BB20668"/>
    <w:rsid w:val="2C3F69E1"/>
    <w:rsid w:val="2CDE7884"/>
    <w:rsid w:val="2CE76520"/>
    <w:rsid w:val="2D9658B7"/>
    <w:rsid w:val="2DA5291C"/>
    <w:rsid w:val="2DD5791F"/>
    <w:rsid w:val="2E3138CD"/>
    <w:rsid w:val="2E401062"/>
    <w:rsid w:val="2E744AA9"/>
    <w:rsid w:val="2F395554"/>
    <w:rsid w:val="2F586C4E"/>
    <w:rsid w:val="2F7930FC"/>
    <w:rsid w:val="30415AAC"/>
    <w:rsid w:val="30C807E9"/>
    <w:rsid w:val="316F57BE"/>
    <w:rsid w:val="31CD7A6F"/>
    <w:rsid w:val="327C1186"/>
    <w:rsid w:val="32FF365B"/>
    <w:rsid w:val="33194A9B"/>
    <w:rsid w:val="33714C03"/>
    <w:rsid w:val="3420004E"/>
    <w:rsid w:val="34470D79"/>
    <w:rsid w:val="3568417E"/>
    <w:rsid w:val="36703F20"/>
    <w:rsid w:val="38A53955"/>
    <w:rsid w:val="38F84269"/>
    <w:rsid w:val="399076A6"/>
    <w:rsid w:val="3A915443"/>
    <w:rsid w:val="3A9A1662"/>
    <w:rsid w:val="3AA91C4E"/>
    <w:rsid w:val="3B0637C9"/>
    <w:rsid w:val="3B246AC0"/>
    <w:rsid w:val="3B396473"/>
    <w:rsid w:val="3C301E78"/>
    <w:rsid w:val="3D447661"/>
    <w:rsid w:val="3EEE662B"/>
    <w:rsid w:val="401458AC"/>
    <w:rsid w:val="40237835"/>
    <w:rsid w:val="40882187"/>
    <w:rsid w:val="40D45A99"/>
    <w:rsid w:val="4149507F"/>
    <w:rsid w:val="416A276D"/>
    <w:rsid w:val="41E33DB5"/>
    <w:rsid w:val="43261E89"/>
    <w:rsid w:val="4359208E"/>
    <w:rsid w:val="443361B0"/>
    <w:rsid w:val="448B77C4"/>
    <w:rsid w:val="451F1954"/>
    <w:rsid w:val="45987CB5"/>
    <w:rsid w:val="459A76DC"/>
    <w:rsid w:val="460958FD"/>
    <w:rsid w:val="4638526A"/>
    <w:rsid w:val="46987BFC"/>
    <w:rsid w:val="46F469BE"/>
    <w:rsid w:val="470D7875"/>
    <w:rsid w:val="4A267B47"/>
    <w:rsid w:val="4A3A1FE3"/>
    <w:rsid w:val="4ADB0C9D"/>
    <w:rsid w:val="4AF51B2E"/>
    <w:rsid w:val="4BCF108F"/>
    <w:rsid w:val="4BE71D89"/>
    <w:rsid w:val="4C002883"/>
    <w:rsid w:val="4D1C7334"/>
    <w:rsid w:val="4D51436B"/>
    <w:rsid w:val="4D5D0B9E"/>
    <w:rsid w:val="4E1E63F6"/>
    <w:rsid w:val="4E2338C1"/>
    <w:rsid w:val="4E280C54"/>
    <w:rsid w:val="4F2E17F1"/>
    <w:rsid w:val="4F44065C"/>
    <w:rsid w:val="4FF95FF8"/>
    <w:rsid w:val="503F5A2E"/>
    <w:rsid w:val="509B44D1"/>
    <w:rsid w:val="50E06B5B"/>
    <w:rsid w:val="50ED2F42"/>
    <w:rsid w:val="51F228E1"/>
    <w:rsid w:val="533026E4"/>
    <w:rsid w:val="537276E9"/>
    <w:rsid w:val="557B5A13"/>
    <w:rsid w:val="55C2786E"/>
    <w:rsid w:val="55C27EE9"/>
    <w:rsid w:val="560F6E79"/>
    <w:rsid w:val="571709A0"/>
    <w:rsid w:val="5723556B"/>
    <w:rsid w:val="57A77EF3"/>
    <w:rsid w:val="588702CE"/>
    <w:rsid w:val="59FE66EB"/>
    <w:rsid w:val="5ABD6295"/>
    <w:rsid w:val="5B611CCF"/>
    <w:rsid w:val="5BD01CEA"/>
    <w:rsid w:val="5BF76E69"/>
    <w:rsid w:val="5CA52103"/>
    <w:rsid w:val="5CAC78AD"/>
    <w:rsid w:val="5CB60A09"/>
    <w:rsid w:val="5D0256BD"/>
    <w:rsid w:val="5D9C2177"/>
    <w:rsid w:val="5E016B69"/>
    <w:rsid w:val="5E62508A"/>
    <w:rsid w:val="5F880CE2"/>
    <w:rsid w:val="602D7BC2"/>
    <w:rsid w:val="62686288"/>
    <w:rsid w:val="626B2166"/>
    <w:rsid w:val="637B2565"/>
    <w:rsid w:val="63977336"/>
    <w:rsid w:val="642F7714"/>
    <w:rsid w:val="649561ED"/>
    <w:rsid w:val="65106004"/>
    <w:rsid w:val="653060E9"/>
    <w:rsid w:val="65D81BE1"/>
    <w:rsid w:val="663012C6"/>
    <w:rsid w:val="66317E00"/>
    <w:rsid w:val="67EE10D2"/>
    <w:rsid w:val="682D4857"/>
    <w:rsid w:val="68CE6D60"/>
    <w:rsid w:val="68D16D61"/>
    <w:rsid w:val="6A5B6A0A"/>
    <w:rsid w:val="6C505754"/>
    <w:rsid w:val="6C725F02"/>
    <w:rsid w:val="6CE97690"/>
    <w:rsid w:val="6DA05E74"/>
    <w:rsid w:val="6DC136F1"/>
    <w:rsid w:val="6F5F2694"/>
    <w:rsid w:val="6FA82E10"/>
    <w:rsid w:val="7040447A"/>
    <w:rsid w:val="70F36C44"/>
    <w:rsid w:val="71825E18"/>
    <w:rsid w:val="71917CF0"/>
    <w:rsid w:val="71CA505D"/>
    <w:rsid w:val="71DF3A5D"/>
    <w:rsid w:val="72671236"/>
    <w:rsid w:val="72E07C92"/>
    <w:rsid w:val="72FF5C78"/>
    <w:rsid w:val="73235321"/>
    <w:rsid w:val="739740FB"/>
    <w:rsid w:val="7515629C"/>
    <w:rsid w:val="753C2A2B"/>
    <w:rsid w:val="75795E03"/>
    <w:rsid w:val="758D6E89"/>
    <w:rsid w:val="76264B5C"/>
    <w:rsid w:val="764207E2"/>
    <w:rsid w:val="76421833"/>
    <w:rsid w:val="7653021A"/>
    <w:rsid w:val="7689069C"/>
    <w:rsid w:val="76DF3617"/>
    <w:rsid w:val="77274992"/>
    <w:rsid w:val="77AF4ACF"/>
    <w:rsid w:val="78125F5F"/>
    <w:rsid w:val="78254B19"/>
    <w:rsid w:val="78B551BA"/>
    <w:rsid w:val="79187131"/>
    <w:rsid w:val="795D02FF"/>
    <w:rsid w:val="797B5FC5"/>
    <w:rsid w:val="7A680654"/>
    <w:rsid w:val="7B7613B4"/>
    <w:rsid w:val="7B88122A"/>
    <w:rsid w:val="7C855CBF"/>
    <w:rsid w:val="7CA94EC5"/>
    <w:rsid w:val="7CB4661F"/>
    <w:rsid w:val="7CD108CF"/>
    <w:rsid w:val="7D5C1F9C"/>
    <w:rsid w:val="7E347369"/>
    <w:rsid w:val="7E5733CD"/>
    <w:rsid w:val="7E8E3B4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6">
    <w:name w:val="Default Paragraph Font"/>
    <w:semiHidden/>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0"/>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Pages>
  <Words>1695</Words>
  <Characters>1735</Characters>
  <Lines>0</Lines>
  <Paragraphs>0</Paragraphs>
  <TotalTime>6</TotalTime>
  <ScaleCrop>false</ScaleCrop>
  <LinksUpToDate>false</LinksUpToDate>
  <CharactersWithSpaces>1803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ljb</cp:lastModifiedBy>
  <cp:lastPrinted>2017-08-24T06:27:00Z</cp:lastPrinted>
  <dcterms:modified xsi:type="dcterms:W3CDTF">2025-02-25T02:42:06Z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49842162D1AB488EB59C1B5F9AB4462D</vt:lpwstr>
  </property>
  <property fmtid="{D5CDD505-2E9C-101B-9397-08002B2CF9AE}" pid="4" name="KSOTemplateDocerSaveRecord">
    <vt:lpwstr>eyJoZGlkIjoiYzIyOGY4NWE4NTQzZDcyMDcwMDYzN2I4MzE4ZTRhYzAiLCJ1c2VySWQiOiIyNTU1NTkxMjkifQ==</vt:lpwstr>
  </property>
</Properties>
</file>