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  <w:lang w:val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zh-CN" w:eastAsia="zh-CN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zh-CN"/>
        </w:rPr>
        <w:t>建设镇2021年财政预算执行情况及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  <w:lang w:val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zh-CN"/>
        </w:rPr>
        <w:t>2022年财政预算草案的报告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ascii="楷体_GB2312" w:hAnsi="楷体_GB2312" w:eastAsia="楷体_GB2312" w:cs="楷体_GB2312"/>
          <w:spacing w:val="-11"/>
          <w:sz w:val="32"/>
          <w:szCs w:val="32"/>
        </w:rPr>
      </w:pPr>
      <w:r>
        <w:rPr>
          <w:rFonts w:hint="eastAsia" w:ascii="仿宋_GB2312" w:eastAsia="仿宋_GB2312"/>
          <w:spacing w:val="-6"/>
          <w:sz w:val="28"/>
          <w:szCs w:val="18"/>
        </w:rPr>
        <w:t>——2021年12月16日在崇明区建设镇第二届人民代表大会第一次会议上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outlineLvl w:val="9"/>
        <w:rPr>
          <w:rFonts w:ascii="仿宋_GB2312" w:hAnsi="仿宋" w:eastAsia="仿宋_GB2312"/>
          <w:sz w:val="28"/>
          <w:szCs w:val="28"/>
        </w:rPr>
      </w:pPr>
    </w:p>
    <w:p>
      <w:pPr>
        <w:spacing w:line="54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各位代表,同志们：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我代表建设镇人民政府，向大会报告镇2021年财政预算执行情况及2022年财政预算草案，请予审议，并请各位代表提出宝贵意见。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00" w:after="200" w:line="540" w:lineRule="exact"/>
        <w:jc w:val="center"/>
        <w:textAlignment w:val="auto"/>
        <w:outlineLvl w:val="9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一、2021年财政预算执行情况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2021年，在镇党委和上级部门的正确领导下，在镇人大的监督支持和各部门的密切配合下，镇财政紧紧围绕镇党委的决策部署，牢牢把握稳中求进的工作原则，</w:t>
      </w:r>
      <w:r>
        <w:rPr>
          <w:rFonts w:hint="eastAsia" w:ascii="仿宋_GB2312" w:hAnsi="微软雅黑" w:eastAsia="仿宋_GB2312"/>
          <w:color w:val="000000"/>
          <w:sz w:val="32"/>
          <w:szCs w:val="32"/>
          <w:shd w:val="clear" w:color="auto" w:fill="FFFFFF"/>
        </w:rPr>
        <w:t>积极践行新发展理念，充分发挥财政职能，全力保障民生和重点领域支出，着力提升理财服务水平，圆满完成了预算执行任务，为我镇“十四五”规划开局之年提供了坚实的财政保障</w:t>
      </w:r>
      <w:r>
        <w:rPr>
          <w:rFonts w:hint="eastAsia" w:ascii="仿宋_GB2312" w:hAnsi="仿宋_GB2312" w:eastAsia="仿宋_GB2312" w:cs="仿宋_GB2312"/>
          <w:sz w:val="32"/>
          <w:szCs w:val="32"/>
        </w:rPr>
        <w:t>，促进了全镇经济社会和各项事业的协调发展。现</w:t>
      </w:r>
      <w:r>
        <w:rPr>
          <w:rFonts w:hint="eastAsia" w:ascii="仿宋_GB2312" w:eastAsia="仿宋_GB2312"/>
          <w:sz w:val="32"/>
          <w:szCs w:val="32"/>
        </w:rPr>
        <w:t>将2021年预算执行情况报告如下：</w:t>
      </w:r>
    </w:p>
    <w:p>
      <w:pPr>
        <w:spacing w:line="540" w:lineRule="exact"/>
        <w:ind w:firstLine="643" w:firstLineChars="200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（一）一般公共预算收入执行情况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2021年，镇级财政一般公共预算收入30000万元，完成预算的100%。</w:t>
      </w:r>
    </w:p>
    <w:p>
      <w:pPr>
        <w:spacing w:line="540" w:lineRule="exact"/>
        <w:ind w:firstLine="630" w:firstLineChars="196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（二）一般公共预算支出执行情况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，按照区委、区政府和镇党委的决策部署，镇级预算安排坚持统筹兼顾、突出重点的原则，进一步调整和优化财政支出结构。镇级财政一般公共预算支出30000万元，截止12月10日预算执行27930.73万元，完成预算的93.1%，具体如下：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1、一般公共服务：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预算执行1823.85万元。主要用于：行政管理</w:t>
      </w:r>
      <w:r>
        <w:rPr>
          <w:rFonts w:hint="eastAsia" w:ascii="仿宋" w:hAnsi="仿宋" w:eastAsia="仿宋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后勤保障</w:t>
      </w:r>
      <w:r>
        <w:rPr>
          <w:rFonts w:hint="eastAsia" w:ascii="仿宋" w:hAnsi="仿宋" w:eastAsia="仿宋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财政事务</w:t>
      </w:r>
      <w:r>
        <w:rPr>
          <w:rFonts w:hint="eastAsia" w:ascii="仿宋" w:hAnsi="仿宋" w:eastAsia="仿宋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党务支出</w:t>
      </w:r>
      <w:r>
        <w:rPr>
          <w:rFonts w:hint="eastAsia" w:ascii="仿宋" w:hAnsi="仿宋" w:eastAsia="仿宋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其他一般公共服务等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支出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2、教育：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预算执行57.24万元。主要用于：学前教育</w:t>
      </w:r>
      <w:r>
        <w:rPr>
          <w:rFonts w:hint="eastAsia" w:ascii="仿宋" w:hAnsi="仿宋" w:eastAsia="仿宋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成人教育</w:t>
      </w:r>
      <w:r>
        <w:rPr>
          <w:rFonts w:hint="eastAsia" w:ascii="仿宋" w:hAnsi="仿宋" w:eastAsia="仿宋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其他教育等支出。</w:t>
      </w:r>
      <w:bookmarkStart w:id="0" w:name="_GoBack"/>
      <w:bookmarkEnd w:id="0"/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3、科学技术：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预算执行200.74万元。主要用于：科普宣传、科普示范村建设、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科技创新扶持等支出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4、文化旅游体育与传媒：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预算执行199万元。主要用于：乡村旅游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文化中心运维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文化专项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体育专项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文体设备购置等支出。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5、社会保障和就业：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预算执行16288.57万元。主要用于民政事业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敬老院经费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受理中心经费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社区工作者事务所经费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生态养护社经费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党员干部慰问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行政事业单位养老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促进就业奖励资金等支出。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6、卫生健康：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预算执行526.61万元。主要用于：健康促进工作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爱卫工作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癌症康复协会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食品安全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献血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红十字会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人口和计划生育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行政事业单位医疗等支出。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7、节能环保：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预算执行1600.69万元。主要用于：市容所经费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节能降耗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节能减排专项资金等支出。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8、城乡社区事务：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预算执行4124.04万元。主要用于城建中心、城运中心、城管中队、经济小区等单位经费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人大、纪委、武装部、群团组织、维稳等部门经费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创城创卫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锦宾物业服务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农村环境建设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花博保障等支出。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9、农林水事务：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预算执行1188.65万元。主要用于：农业事业费（包括农技中心经费、农业综合保险、畜牧兽医防疫、农产品监管、为农服务、农业培训、涉农“一点通”推广、镇区绿化、土地流转及用地补贴、镇级农村扶持资金</w:t>
      </w:r>
      <w:r>
        <w:rPr>
          <w:rFonts w:hint="eastAsia" w:ascii="仿宋" w:hAnsi="仿宋" w:eastAsia="仿宋"/>
          <w:sz w:val="30"/>
          <w:szCs w:val="30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统计工作、农业生产发展、乡村振兴建设）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林业事业费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水利事业费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联扶平台资金（注册企业扶持）等支出。</w:t>
      </w:r>
    </w:p>
    <w:p>
      <w:pPr>
        <w:spacing w:line="54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10、其他商业流通事务：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预算执行1000万元。用于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经济小区注册企业的海岛扶持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 w:eastAsia="zh-CN"/>
        </w:rPr>
        <w:t>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11、住房保障：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预算执行921.34万元。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用于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住房保障支出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12、预备费：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预算执行0万元。</w:t>
      </w:r>
    </w:p>
    <w:p>
      <w:pPr>
        <w:snapToGrid w:val="0"/>
        <w:spacing w:line="540" w:lineRule="exact"/>
        <w:ind w:firstLine="645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各位代表,</w:t>
      </w: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</w:rPr>
        <w:t>21</w:t>
      </w:r>
      <w:r>
        <w:rPr>
          <w:rFonts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</w:rPr>
        <w:t>在经济下行、刚性支出加大以及新冠肺炎疫情、花博迎办保障等综合因素影响下，我镇经济保持了稳定的发展势头，财政发展与经济建设实现了良性互动，财政各项工作取得较好成效，这是镇党委坚强领导的结果，是镇人大及代表们支持监督的结果，是全镇各部门、各单位和社会各界齐心协力、共同努力的结果。</w:t>
      </w:r>
    </w:p>
    <w:p>
      <w:pPr>
        <w:snapToGrid w:val="0"/>
        <w:spacing w:line="540" w:lineRule="exact"/>
        <w:ind w:firstLine="645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同时，</w:t>
      </w:r>
      <w:r>
        <w:rPr>
          <w:rFonts w:ascii="仿宋_GB2312" w:hAnsi="仿宋_GB2312" w:eastAsia="仿宋_GB2312" w:cs="仿宋_GB2312"/>
          <w:sz w:val="32"/>
          <w:szCs w:val="32"/>
        </w:rPr>
        <w:t>我们也清醒地认识到，</w:t>
      </w:r>
      <w:r>
        <w:rPr>
          <w:rFonts w:hint="eastAsia" w:ascii="仿宋_GB2312" w:hAnsi="仿宋_GB2312" w:eastAsia="仿宋_GB2312" w:cs="仿宋_GB2312"/>
          <w:sz w:val="32"/>
          <w:szCs w:val="32"/>
        </w:rPr>
        <w:t>在新形势下，</w:t>
      </w:r>
      <w:r>
        <w:rPr>
          <w:rFonts w:ascii="仿宋_GB2312" w:hAnsi="仿宋_GB2312" w:eastAsia="仿宋_GB2312" w:cs="仿宋_GB2312"/>
          <w:sz w:val="32"/>
          <w:szCs w:val="32"/>
        </w:rPr>
        <w:t>财政运行中还面临</w:t>
      </w:r>
      <w:r>
        <w:rPr>
          <w:rFonts w:hint="eastAsia" w:ascii="仿宋_GB2312" w:hAnsi="仿宋_GB2312" w:eastAsia="仿宋_GB2312" w:cs="仿宋_GB2312"/>
          <w:sz w:val="32"/>
          <w:szCs w:val="32"/>
        </w:rPr>
        <w:t>着</w:t>
      </w:r>
      <w:r>
        <w:rPr>
          <w:rFonts w:ascii="仿宋_GB2312" w:hAnsi="仿宋_GB2312" w:eastAsia="仿宋_GB2312" w:cs="仿宋_GB2312"/>
          <w:sz w:val="32"/>
          <w:szCs w:val="32"/>
        </w:rPr>
        <w:t>一些困难和挑战</w:t>
      </w:r>
      <w:r>
        <w:rPr>
          <w:rFonts w:hint="eastAsia" w:ascii="仿宋_GB2312" w:hAnsi="仿宋_GB2312" w:eastAsia="仿宋_GB2312" w:cs="仿宋_GB2312"/>
          <w:sz w:val="32"/>
          <w:szCs w:val="32"/>
        </w:rPr>
        <w:t>，主要体现在：1、虽然财政收入实现稳步增长，但增收基础仍不牢固；2、财政收支“紧平衡”状况日趋明显，重大项目、基建项目需持续资金配套保障；3、</w:t>
      </w:r>
      <w:r>
        <w:rPr>
          <w:rFonts w:ascii="仿宋_GB2312" w:hAnsi="仿宋_GB2312" w:eastAsia="仿宋_GB2312" w:cs="仿宋_GB2312"/>
          <w:sz w:val="32"/>
          <w:szCs w:val="32"/>
        </w:rPr>
        <w:t>预算绩效管理理念尚未牢固树立，</w:t>
      </w:r>
      <w:r>
        <w:rPr>
          <w:rFonts w:hint="eastAsia" w:ascii="仿宋_GB2312" w:hAnsi="仿宋_GB2312" w:eastAsia="仿宋_GB2312" w:cs="仿宋_GB2312"/>
          <w:sz w:val="32"/>
          <w:szCs w:val="32"/>
        </w:rPr>
        <w:t>硬化预算约束的环境和意识有待加强。</w:t>
      </w:r>
      <w:r>
        <w:rPr>
          <w:rFonts w:ascii="仿宋_GB2312" w:hAnsi="仿宋_GB2312" w:eastAsia="仿宋_GB2312" w:cs="仿宋_GB2312"/>
          <w:sz w:val="32"/>
          <w:szCs w:val="32"/>
        </w:rPr>
        <w:t>对此，</w:t>
      </w:r>
      <w:r>
        <w:rPr>
          <w:rFonts w:hint="eastAsia" w:ascii="仿宋_GB2312" w:hAnsi="仿宋_GB2312" w:eastAsia="仿宋_GB2312" w:cs="仿宋_GB2312"/>
          <w:sz w:val="32"/>
          <w:szCs w:val="32"/>
        </w:rPr>
        <w:t>我们将</w:t>
      </w:r>
      <w:r>
        <w:rPr>
          <w:rFonts w:ascii="仿宋_GB2312" w:hAnsi="仿宋_GB2312" w:eastAsia="仿宋_GB2312" w:cs="仿宋_GB2312"/>
          <w:sz w:val="32"/>
          <w:szCs w:val="32"/>
        </w:rPr>
        <w:t>高度重视，</w:t>
      </w:r>
      <w:r>
        <w:rPr>
          <w:rFonts w:hint="eastAsia" w:ascii="仿宋_GB2312" w:hAnsi="仿宋_GB2312" w:eastAsia="仿宋_GB2312" w:cs="仿宋_GB2312"/>
          <w:sz w:val="32"/>
          <w:szCs w:val="32"/>
        </w:rPr>
        <w:t>在今后的工作中认真研究加以解决。团结一致，形成合力，充分调动各方力量，确保</w:t>
      </w:r>
      <w:r>
        <w:rPr>
          <w:rFonts w:ascii="仿宋_GB2312" w:hAnsi="仿宋_GB2312" w:eastAsia="仿宋_GB2312" w:cs="仿宋_GB2312"/>
          <w:sz w:val="32"/>
          <w:szCs w:val="32"/>
        </w:rPr>
        <w:t>财政运行稳中有进</w:t>
      </w:r>
      <w:r>
        <w:rPr>
          <w:rFonts w:hint="eastAsia" w:ascii="仿宋_GB2312" w:hAnsi="仿宋_GB2312" w:eastAsia="仿宋_GB2312" w:cs="仿宋_GB2312"/>
          <w:sz w:val="32"/>
          <w:szCs w:val="32"/>
        </w:rPr>
        <w:t>，经济社会大局健康发展。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00" w:after="200" w:line="540" w:lineRule="exact"/>
        <w:jc w:val="center"/>
        <w:textAlignment w:val="auto"/>
        <w:outlineLvl w:val="9"/>
      </w:pPr>
      <w:r>
        <w:rPr>
          <w:rFonts w:hint="eastAsia" w:ascii="黑体" w:hAnsi="黑体" w:eastAsia="黑体" w:cs="黑体"/>
          <w:bCs/>
          <w:sz w:val="32"/>
          <w:szCs w:val="32"/>
        </w:rPr>
        <w:t>二、2022年财政预算草案</w:t>
      </w:r>
    </w:p>
    <w:p>
      <w:pPr>
        <w:pStyle w:val="4"/>
        <w:spacing w:before="0" w:beforeAutospacing="0" w:after="0" w:afterAutospacing="0" w:line="540" w:lineRule="exact"/>
        <w:ind w:right="210"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2022年，镇财政工作的指导思想是：</w:t>
      </w:r>
      <w:r>
        <w:rPr>
          <w:rFonts w:hint="eastAsia" w:ascii="仿宋_GB2312" w:eastAsia="仿宋_GB2312"/>
          <w:sz w:val="32"/>
          <w:szCs w:val="32"/>
        </w:rPr>
        <w:t>以习近平新时代中国特色社会主义思想为指导，认真落实</w:t>
      </w:r>
      <w:r>
        <w:rPr>
          <w:rFonts w:hint="eastAsia" w:ascii="仿宋_GB2312" w:hAnsi="仿宋_GB2312" w:eastAsia="仿宋_GB2312" w:cs="仿宋_GB2312"/>
          <w:sz w:val="32"/>
          <w:szCs w:val="32"/>
        </w:rPr>
        <w:t>镇</w:t>
      </w:r>
      <w:r>
        <w:rPr>
          <w:rFonts w:hint="eastAsia" w:ascii="仿宋_GB2312" w:eastAsia="仿宋_GB2312"/>
          <w:sz w:val="32"/>
          <w:szCs w:val="32"/>
        </w:rPr>
        <w:t>党委的决策部署，紧密结合镇经济社会发展形势，坚持稳中求进的工作总基调，进一步规范预算管理，提高财政收入质量，优化财政支出结构，着力保障改善民生，促进镇经济持续健康平稳发展。现将2022年财政预算草案报告如下：</w:t>
      </w:r>
    </w:p>
    <w:p>
      <w:pPr>
        <w:spacing w:line="540" w:lineRule="exact"/>
        <w:ind w:firstLine="630" w:firstLineChars="196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（一）一般公共预算收入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年，本镇一般公共预算收入目标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35900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万元，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比2021年增长19.67%。</w:t>
      </w:r>
    </w:p>
    <w:p>
      <w:pPr>
        <w:autoSpaceDE w:val="0"/>
        <w:autoSpaceDN w:val="0"/>
        <w:adjustRightInd w:val="0"/>
        <w:spacing w:line="540" w:lineRule="exact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（二）一般公共预算支出</w:t>
      </w:r>
    </w:p>
    <w:p>
      <w:pPr>
        <w:autoSpaceDE w:val="0"/>
        <w:autoSpaceDN w:val="0"/>
        <w:adjustRightInd w:val="0"/>
        <w:spacing w:line="540" w:lineRule="exact"/>
        <w:ind w:firstLine="640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年，本镇一般公共预算支出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5900万元，比2021年增长19.67%，主要增涨因素：一是社会保障和就业资金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刚性支出加大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；二是生态养护社补贴结构调整承担比率增加；三是人员经费自然增长。具体安排如下：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1、一般公共服务：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3483.09万元，占预算支出的9.7%。主要用于：人大事务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行政管理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纪检监督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组织事务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宣传事务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发展与改革事务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审计事务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统计信息事务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群众团体事务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其他党务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其他一般公共服务等资金。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2、教育：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37万元，占预算支出的0.1%。主要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用于</w:t>
      </w:r>
      <w:r>
        <w:rPr>
          <w:rFonts w:hint="eastAsia" w:ascii="仿宋_GB2312" w:hAnsi="仿宋_GB2312" w:eastAsia="仿宋_GB2312" w:cs="仿宋_GB2312"/>
          <w:sz w:val="32"/>
          <w:szCs w:val="32"/>
        </w:rPr>
        <w:t>：学前教育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成人教育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其他教育等资金。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3、科学技术：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205万元，占预算支出的0.57%。主要用于：科普宣传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科普示范村建设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科技创新等资金。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4、文化旅游体育与传媒：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250.69万元，占预算支出的0.7%。主要用于：乡村旅游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文化中心运维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文化专项经费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体育专项经费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文体设备购置等资金。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5、社会保障和就业：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19563.51万元，占预算支出的54.49%。主要用于：民政管理事务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社会保险基金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就业补助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优抚经费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社会福利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残疾人事业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红十字事业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农村低保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其他社会保障等资金。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6、卫生健康：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617万元，占预算支出的1.72%。主要用于：公共卫生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计划生育事务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行政事业单位医疗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其他卫生健康事务等资金。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7、节能环保：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2714.38万元，占预算支出的7.56%。主要用于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：自然生态保护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污染减排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环境保护管理事务等资金。</w:t>
      </w:r>
    </w:p>
    <w:p>
      <w:pPr>
        <w:spacing w:line="500" w:lineRule="exact"/>
        <w:ind w:firstLine="643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</w:rPr>
        <w:t>8、城乡社区事务：</w:t>
      </w:r>
      <w:r>
        <w:rPr>
          <w:rFonts w:hint="eastAsia" w:ascii="楷体_GB2312" w:hAnsi="楷体_GB2312" w:eastAsia="楷体_GB2312" w:cs="楷体_GB2312"/>
          <w:bCs/>
          <w:color w:val="000000" w:themeColor="text1"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3339.3万元，占预算支出的9.31%。主要用于：城乡社区管理事务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城乡社区规划与管理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城乡社区公共设施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其他城乡社区支出等资金。</w:t>
      </w:r>
    </w:p>
    <w:p>
      <w:pPr>
        <w:spacing w:line="50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9、农林水事务：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2088.98万元，占预算支出的5.82%。主要用于：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农业经费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林业经费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水利经费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农村综合改革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其他农林水支出等资金。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10、其他商业流通事务：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预算安排2435.46万</w:t>
      </w:r>
      <w:r>
        <w:rPr>
          <w:rFonts w:hint="eastAsia" w:ascii="仿宋_GB2312" w:hAnsi="仿宋_GB2312" w:eastAsia="仿宋_GB2312" w:cs="仿宋_GB2312"/>
          <w:sz w:val="32"/>
          <w:szCs w:val="32"/>
        </w:rPr>
        <w:t>元，占预算支出的6.78%。（注册企业扶持）现代服务业引导资金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经济小区工作经费等资金。</w:t>
      </w:r>
    </w:p>
    <w:p>
      <w:pPr>
        <w:spacing w:line="54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11、住房保障：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983.16万元，占预算支出的2.74%。主要用于：住房保障资金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spacing w:line="54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12、预备费：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预算安排</w:t>
      </w:r>
      <w:r>
        <w:rPr>
          <w:rFonts w:hint="eastAsia" w:ascii="仿宋_GB2312" w:hAnsi="仿宋_GB2312" w:eastAsia="仿宋_GB2312" w:cs="仿宋_GB2312"/>
          <w:sz w:val="32"/>
          <w:szCs w:val="32"/>
        </w:rPr>
        <w:t>182.43万元，占预算支出的0.51%。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00" w:after="200" w:line="540" w:lineRule="exact"/>
        <w:jc w:val="center"/>
        <w:textAlignment w:val="auto"/>
        <w:outlineLvl w:val="9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三、2022年财政工作重点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2022年，财政工作紧紧围绕镇“十四五”规划，深刻理解领会新要求、新特点、新任务，克服压力和困难，扎实做好2022年财政工作任务，我们将重点抓好以下工作：</w:t>
      </w:r>
    </w:p>
    <w:p>
      <w:pPr>
        <w:pStyle w:val="4"/>
        <w:spacing w:before="0" w:beforeAutospacing="0" w:after="0" w:afterAutospacing="0" w:line="540" w:lineRule="exact"/>
        <w:ind w:firstLine="600"/>
        <w:rPr>
          <w:rFonts w:ascii="仿宋_GB2312" w:hAnsi="Times New Roman" w:eastAsia="仿宋_GB2312" w:cs="Times New Roman"/>
          <w:kern w:val="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kern w:val="2"/>
          <w:sz w:val="32"/>
          <w:szCs w:val="32"/>
        </w:rPr>
        <w:t>（一）着力加强开源节流，确保财政收入平稳运行。</w:t>
      </w:r>
      <w:r>
        <w:rPr>
          <w:rFonts w:hint="eastAsia" w:ascii="仿宋_GB2312" w:hAnsi="Times New Roman" w:eastAsia="仿宋_GB2312" w:cs="Times New Roman"/>
          <w:kern w:val="2"/>
          <w:sz w:val="32"/>
          <w:szCs w:val="32"/>
        </w:rPr>
        <w:t>一是继续优化营商环境，在稳存量的基础上，以平台经济发展作为财源建设的新思路和税收增长的新突破，确保我镇财政收入再上新台阶；二是牢固树立过紧日子思想，强化节流，严肃财经纪律，加大支出结构调整力度，从严控制新增项目支出；三是积极清理暂付款，努力盘活存量资金，对超过规定时限未使用完的结转结余资金一律收回统筹使用。</w:t>
      </w:r>
    </w:p>
    <w:p>
      <w:pPr>
        <w:widowControl/>
        <w:spacing w:line="540" w:lineRule="exact"/>
        <w:ind w:right="210" w:firstLine="643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（二）着力加强预算管理，提高财政保障力度。</w:t>
      </w:r>
      <w:r>
        <w:rPr>
          <w:rFonts w:hint="eastAsia" w:ascii="仿宋_GB2312" w:eastAsia="仿宋_GB2312"/>
          <w:sz w:val="32"/>
          <w:szCs w:val="32"/>
        </w:rPr>
        <w:t>一是全面树立预算的权威性和严肃性，坚持先有项目，后有预算，先有预算，后有支出，硬化预算约束，规范预算执行；二是科学编制预算，进一步细化预算编制，加强综合预算管理，完善预算监管机制；三是着力优化支出结构，切实把“三保”放在财政支出的优先位置，统筹预算安排社会事业发展资金。</w:t>
      </w:r>
    </w:p>
    <w:p>
      <w:pPr>
        <w:widowControl/>
        <w:spacing w:line="540" w:lineRule="exact"/>
        <w:ind w:right="210" w:firstLine="643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（三）着力加强绩效管理，提升财政管理水平。</w:t>
      </w:r>
      <w:r>
        <w:rPr>
          <w:rFonts w:hint="eastAsia" w:ascii="仿宋_GB2312" w:eastAsia="仿宋_GB2312"/>
          <w:sz w:val="32"/>
          <w:szCs w:val="32"/>
        </w:rPr>
        <w:t>一是进一步推进财政工作科学化精细化管理，充分发挥财政监督职能作用，推进财政监督和绩效管理的有机结合。二是加强预算绩效管理，强化支出责任和效率意识，落实“花钱必问效、无效必问责”的理念，压实部门主体责任；三是强化各单位内控制度，加强队伍建设，严格要求、严格管理、严格监督，不断提高依法行政、依法理财水平。</w:t>
      </w:r>
    </w:p>
    <w:p>
      <w:pPr>
        <w:pStyle w:val="4"/>
        <w:spacing w:before="0" w:beforeAutospacing="0" w:after="0" w:afterAutospacing="0" w:line="540" w:lineRule="exact"/>
        <w:ind w:firstLine="643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_GB2312" w:hAnsi="Calibri" w:eastAsia="仿宋_GB2312"/>
          <w:color w:val="000000"/>
          <w:sz w:val="32"/>
          <w:szCs w:val="32"/>
          <w:shd w:val="clear" w:color="auto" w:fill="FFFFFF"/>
        </w:rPr>
        <w:t>各位代表，2022年是“十四五”规划落实奋斗之年，做好今年的财政工作，责任重大，意义深远。新时代开启新征程，新征程呼唤新作为，我们决心在镇党委的坚强领导下，在镇人大的监督指导下，以更加坚定的信念、务实的作风，不忘初心、砥砺前行，为我镇经济建设和各项社会事业发展做出贡献。</w:t>
      </w:r>
    </w:p>
    <w:sectPr>
      <w:footerReference r:id="rId3" w:type="default"/>
      <w:footerReference r:id="rId4" w:type="even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7</w:t>
    </w:r>
    <w:r>
      <w:rPr>
        <w:rStyle w:val="7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41390"/>
    <w:rsid w:val="00004C3C"/>
    <w:rsid w:val="000063B2"/>
    <w:rsid w:val="000123D9"/>
    <w:rsid w:val="000165BC"/>
    <w:rsid w:val="000312C9"/>
    <w:rsid w:val="00040FC3"/>
    <w:rsid w:val="00044FE8"/>
    <w:rsid w:val="000518A4"/>
    <w:rsid w:val="00051D23"/>
    <w:rsid w:val="00053203"/>
    <w:rsid w:val="000657D3"/>
    <w:rsid w:val="00076F31"/>
    <w:rsid w:val="00080820"/>
    <w:rsid w:val="000860C1"/>
    <w:rsid w:val="00086F18"/>
    <w:rsid w:val="000A58D8"/>
    <w:rsid w:val="000B736A"/>
    <w:rsid w:val="000C1D72"/>
    <w:rsid w:val="000C4E11"/>
    <w:rsid w:val="000D0522"/>
    <w:rsid w:val="000D420C"/>
    <w:rsid w:val="000D4B37"/>
    <w:rsid w:val="000F6CCA"/>
    <w:rsid w:val="001011E1"/>
    <w:rsid w:val="00103520"/>
    <w:rsid w:val="00103971"/>
    <w:rsid w:val="00126742"/>
    <w:rsid w:val="00150615"/>
    <w:rsid w:val="00166089"/>
    <w:rsid w:val="001745AD"/>
    <w:rsid w:val="00182FD5"/>
    <w:rsid w:val="00185BD8"/>
    <w:rsid w:val="0019322D"/>
    <w:rsid w:val="001B3120"/>
    <w:rsid w:val="001C37F1"/>
    <w:rsid w:val="001C44E6"/>
    <w:rsid w:val="001C6C24"/>
    <w:rsid w:val="001E7DC1"/>
    <w:rsid w:val="001F0145"/>
    <w:rsid w:val="001F4F27"/>
    <w:rsid w:val="002002B9"/>
    <w:rsid w:val="00212CE8"/>
    <w:rsid w:val="00220FBE"/>
    <w:rsid w:val="002450EC"/>
    <w:rsid w:val="002539FD"/>
    <w:rsid w:val="002609B2"/>
    <w:rsid w:val="00262076"/>
    <w:rsid w:val="00264804"/>
    <w:rsid w:val="00293CD4"/>
    <w:rsid w:val="00294F89"/>
    <w:rsid w:val="00297893"/>
    <w:rsid w:val="002B0BE9"/>
    <w:rsid w:val="002B60D5"/>
    <w:rsid w:val="002D0ADC"/>
    <w:rsid w:val="002D2B82"/>
    <w:rsid w:val="002D5EA2"/>
    <w:rsid w:val="002D6FEA"/>
    <w:rsid w:val="003039D2"/>
    <w:rsid w:val="00305129"/>
    <w:rsid w:val="003070B2"/>
    <w:rsid w:val="003267E1"/>
    <w:rsid w:val="003322F4"/>
    <w:rsid w:val="00350977"/>
    <w:rsid w:val="00350F9B"/>
    <w:rsid w:val="003554E9"/>
    <w:rsid w:val="00364147"/>
    <w:rsid w:val="00364DB4"/>
    <w:rsid w:val="003B6459"/>
    <w:rsid w:val="003D7C57"/>
    <w:rsid w:val="003F1ABE"/>
    <w:rsid w:val="003F2D1F"/>
    <w:rsid w:val="003F3A93"/>
    <w:rsid w:val="003F4DE7"/>
    <w:rsid w:val="004135D6"/>
    <w:rsid w:val="004137E9"/>
    <w:rsid w:val="00416E4B"/>
    <w:rsid w:val="00427676"/>
    <w:rsid w:val="0044235B"/>
    <w:rsid w:val="0044655A"/>
    <w:rsid w:val="00446B29"/>
    <w:rsid w:val="004670B5"/>
    <w:rsid w:val="0048374A"/>
    <w:rsid w:val="00495413"/>
    <w:rsid w:val="004A67F9"/>
    <w:rsid w:val="004B23A4"/>
    <w:rsid w:val="004E1ADA"/>
    <w:rsid w:val="004F185F"/>
    <w:rsid w:val="004F5CC3"/>
    <w:rsid w:val="00501124"/>
    <w:rsid w:val="00503AB5"/>
    <w:rsid w:val="0052796D"/>
    <w:rsid w:val="00544287"/>
    <w:rsid w:val="00550A93"/>
    <w:rsid w:val="00552CEA"/>
    <w:rsid w:val="005778B1"/>
    <w:rsid w:val="00580C08"/>
    <w:rsid w:val="005963BA"/>
    <w:rsid w:val="005A616D"/>
    <w:rsid w:val="005C3E13"/>
    <w:rsid w:val="00604A00"/>
    <w:rsid w:val="00605FEC"/>
    <w:rsid w:val="00613920"/>
    <w:rsid w:val="00630F5D"/>
    <w:rsid w:val="006344BE"/>
    <w:rsid w:val="00647115"/>
    <w:rsid w:val="00655AF1"/>
    <w:rsid w:val="006565C5"/>
    <w:rsid w:val="00681DD6"/>
    <w:rsid w:val="006870DC"/>
    <w:rsid w:val="006940B0"/>
    <w:rsid w:val="00695059"/>
    <w:rsid w:val="00695EAD"/>
    <w:rsid w:val="006A4839"/>
    <w:rsid w:val="006C1B07"/>
    <w:rsid w:val="006C4B3E"/>
    <w:rsid w:val="006C7D3E"/>
    <w:rsid w:val="006D71F2"/>
    <w:rsid w:val="006E24D3"/>
    <w:rsid w:val="006E2878"/>
    <w:rsid w:val="006F1573"/>
    <w:rsid w:val="006F615E"/>
    <w:rsid w:val="00704050"/>
    <w:rsid w:val="007076E2"/>
    <w:rsid w:val="0071657D"/>
    <w:rsid w:val="007534C0"/>
    <w:rsid w:val="007550B5"/>
    <w:rsid w:val="007556BE"/>
    <w:rsid w:val="00771864"/>
    <w:rsid w:val="0077321F"/>
    <w:rsid w:val="00783B51"/>
    <w:rsid w:val="007B0512"/>
    <w:rsid w:val="007C13DE"/>
    <w:rsid w:val="007C79B4"/>
    <w:rsid w:val="007D071E"/>
    <w:rsid w:val="007D26B4"/>
    <w:rsid w:val="007D3F30"/>
    <w:rsid w:val="007E63A0"/>
    <w:rsid w:val="007E697F"/>
    <w:rsid w:val="007F08EB"/>
    <w:rsid w:val="007F428B"/>
    <w:rsid w:val="00801619"/>
    <w:rsid w:val="008024F7"/>
    <w:rsid w:val="00803D3B"/>
    <w:rsid w:val="0083587E"/>
    <w:rsid w:val="00847C41"/>
    <w:rsid w:val="0085715F"/>
    <w:rsid w:val="00864AD7"/>
    <w:rsid w:val="0087013E"/>
    <w:rsid w:val="008710CC"/>
    <w:rsid w:val="00873BE2"/>
    <w:rsid w:val="008764AF"/>
    <w:rsid w:val="00885B4C"/>
    <w:rsid w:val="008A2357"/>
    <w:rsid w:val="008B2817"/>
    <w:rsid w:val="008B3D4F"/>
    <w:rsid w:val="008C2A0E"/>
    <w:rsid w:val="008C389F"/>
    <w:rsid w:val="008D0681"/>
    <w:rsid w:val="008D23BF"/>
    <w:rsid w:val="008D2EFD"/>
    <w:rsid w:val="008E10CA"/>
    <w:rsid w:val="008E5504"/>
    <w:rsid w:val="008F3D08"/>
    <w:rsid w:val="00906C79"/>
    <w:rsid w:val="00910DEC"/>
    <w:rsid w:val="009138C0"/>
    <w:rsid w:val="009259D3"/>
    <w:rsid w:val="00941E24"/>
    <w:rsid w:val="00956F0F"/>
    <w:rsid w:val="00957F8C"/>
    <w:rsid w:val="00970727"/>
    <w:rsid w:val="00971D79"/>
    <w:rsid w:val="009921C5"/>
    <w:rsid w:val="009A2FDF"/>
    <w:rsid w:val="009B3EB2"/>
    <w:rsid w:val="009C0C73"/>
    <w:rsid w:val="009D4842"/>
    <w:rsid w:val="009F2AD3"/>
    <w:rsid w:val="009F3E41"/>
    <w:rsid w:val="00A04271"/>
    <w:rsid w:val="00A32422"/>
    <w:rsid w:val="00A32A60"/>
    <w:rsid w:val="00A41390"/>
    <w:rsid w:val="00A45847"/>
    <w:rsid w:val="00A678B8"/>
    <w:rsid w:val="00A9208E"/>
    <w:rsid w:val="00A943D1"/>
    <w:rsid w:val="00AA2766"/>
    <w:rsid w:val="00AA3F6E"/>
    <w:rsid w:val="00AE4507"/>
    <w:rsid w:val="00AF1EB3"/>
    <w:rsid w:val="00AF27A8"/>
    <w:rsid w:val="00B07FAB"/>
    <w:rsid w:val="00B13B87"/>
    <w:rsid w:val="00B26350"/>
    <w:rsid w:val="00B346E7"/>
    <w:rsid w:val="00B553F7"/>
    <w:rsid w:val="00B62866"/>
    <w:rsid w:val="00B673D4"/>
    <w:rsid w:val="00B70D0E"/>
    <w:rsid w:val="00B710C7"/>
    <w:rsid w:val="00B9051D"/>
    <w:rsid w:val="00B9567F"/>
    <w:rsid w:val="00BB229F"/>
    <w:rsid w:val="00C0281D"/>
    <w:rsid w:val="00C45511"/>
    <w:rsid w:val="00C50FE7"/>
    <w:rsid w:val="00C5507F"/>
    <w:rsid w:val="00C73323"/>
    <w:rsid w:val="00C73699"/>
    <w:rsid w:val="00C76755"/>
    <w:rsid w:val="00C976EC"/>
    <w:rsid w:val="00CA0E8A"/>
    <w:rsid w:val="00CA1494"/>
    <w:rsid w:val="00CA19C8"/>
    <w:rsid w:val="00CA4D15"/>
    <w:rsid w:val="00CA5FD4"/>
    <w:rsid w:val="00CB2D28"/>
    <w:rsid w:val="00CC1CF6"/>
    <w:rsid w:val="00CD1648"/>
    <w:rsid w:val="00CE5C55"/>
    <w:rsid w:val="00CF10F4"/>
    <w:rsid w:val="00D00BC8"/>
    <w:rsid w:val="00D07A34"/>
    <w:rsid w:val="00D237EF"/>
    <w:rsid w:val="00D26AB3"/>
    <w:rsid w:val="00D26B48"/>
    <w:rsid w:val="00D276AC"/>
    <w:rsid w:val="00D34E4E"/>
    <w:rsid w:val="00D43A14"/>
    <w:rsid w:val="00D4517B"/>
    <w:rsid w:val="00D5396F"/>
    <w:rsid w:val="00D6103F"/>
    <w:rsid w:val="00D641AB"/>
    <w:rsid w:val="00D750DB"/>
    <w:rsid w:val="00D96DB0"/>
    <w:rsid w:val="00DC1078"/>
    <w:rsid w:val="00DC2BA4"/>
    <w:rsid w:val="00DC2D2B"/>
    <w:rsid w:val="00DD39FE"/>
    <w:rsid w:val="00DE472D"/>
    <w:rsid w:val="00DF0420"/>
    <w:rsid w:val="00E0776E"/>
    <w:rsid w:val="00E14615"/>
    <w:rsid w:val="00E4023F"/>
    <w:rsid w:val="00E434B4"/>
    <w:rsid w:val="00E52393"/>
    <w:rsid w:val="00E528A6"/>
    <w:rsid w:val="00E614B6"/>
    <w:rsid w:val="00E67BE7"/>
    <w:rsid w:val="00E7637B"/>
    <w:rsid w:val="00EB2B6B"/>
    <w:rsid w:val="00EC1193"/>
    <w:rsid w:val="00ED0FBC"/>
    <w:rsid w:val="00EE2F2A"/>
    <w:rsid w:val="00EF00AB"/>
    <w:rsid w:val="00EF04DE"/>
    <w:rsid w:val="00EF1EE9"/>
    <w:rsid w:val="00F00F94"/>
    <w:rsid w:val="00F04E33"/>
    <w:rsid w:val="00F21DAA"/>
    <w:rsid w:val="00F26803"/>
    <w:rsid w:val="00F35630"/>
    <w:rsid w:val="00F655D8"/>
    <w:rsid w:val="00F77369"/>
    <w:rsid w:val="00F83AD3"/>
    <w:rsid w:val="00F86B33"/>
    <w:rsid w:val="00FA634F"/>
    <w:rsid w:val="00FB046C"/>
    <w:rsid w:val="00FC6C10"/>
    <w:rsid w:val="00FD15D4"/>
    <w:rsid w:val="00FD2254"/>
    <w:rsid w:val="00FD659E"/>
    <w:rsid w:val="00FE4208"/>
    <w:rsid w:val="00FE7445"/>
    <w:rsid w:val="00FF2D47"/>
    <w:rsid w:val="03702025"/>
    <w:rsid w:val="0D7F1CC9"/>
    <w:rsid w:val="118F4280"/>
    <w:rsid w:val="121132C2"/>
    <w:rsid w:val="1E994469"/>
    <w:rsid w:val="1EA84440"/>
    <w:rsid w:val="20203320"/>
    <w:rsid w:val="34F2054C"/>
    <w:rsid w:val="3BBD796B"/>
    <w:rsid w:val="43637AE1"/>
    <w:rsid w:val="45F76F43"/>
    <w:rsid w:val="4B507F2D"/>
    <w:rsid w:val="4DB33670"/>
    <w:rsid w:val="550D5DB1"/>
    <w:rsid w:val="5EFE407F"/>
    <w:rsid w:val="5FBC4BE6"/>
    <w:rsid w:val="62A9506B"/>
    <w:rsid w:val="648A7BCE"/>
    <w:rsid w:val="655A34D4"/>
    <w:rsid w:val="6C2F3279"/>
    <w:rsid w:val="6DB47198"/>
    <w:rsid w:val="70E34840"/>
    <w:rsid w:val="73131AB7"/>
    <w:rsid w:val="76E476AF"/>
    <w:rsid w:val="771D47F9"/>
    <w:rsid w:val="7B2017CA"/>
    <w:rsid w:val="FEB7FA5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7">
    <w:name w:val="page number"/>
    <w:basedOn w:val="6"/>
    <w:qFormat/>
    <w:uiPriority w:val="99"/>
    <w:rPr>
      <w:rFonts w:cs="Times New Roman"/>
    </w:rPr>
  </w:style>
  <w:style w:type="character" w:customStyle="1" w:styleId="8">
    <w:name w:val="页脚 Char"/>
    <w:basedOn w:val="6"/>
    <w:link w:val="2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眉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532</Words>
  <Characters>3038</Characters>
  <Lines>25</Lines>
  <Paragraphs>7</Paragraphs>
  <TotalTime>12</TotalTime>
  <ScaleCrop>false</ScaleCrop>
  <LinksUpToDate>false</LinksUpToDate>
  <CharactersWithSpaces>3563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2021-12-12T13:22:00Z</dcterms:created>
  <dc:creator>Windows 用户</dc:creator>
  <cp:lastModifiedBy>user</cp:lastModifiedBy>
  <cp:lastPrinted>2021-12-21T10:34:40Z</cp:lastPrinted>
  <dcterms:modified xsi:type="dcterms:W3CDTF">2021-12-21T10:43:32Z</dcterms:modified>
  <cp:revision>58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