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80" w:lineRule="exact"/>
        <w:ind w:firstLine="720"/>
        <w:rPr>
          <w:rFonts w:hint="eastAsia" w:eastAsia="仿宋_GB2312"/>
          <w:spacing w:val="100"/>
          <w:sz w:val="72"/>
        </w:rPr>
      </w:pPr>
    </w:p>
    <w:p>
      <w:pPr>
        <w:spacing w:line="280" w:lineRule="exact"/>
        <w:ind w:firstLine="720"/>
        <w:rPr>
          <w:rFonts w:hint="eastAsia" w:eastAsia="仿宋_GB2312"/>
          <w:spacing w:val="100"/>
          <w:sz w:val="72"/>
        </w:rPr>
      </w:pPr>
    </w:p>
    <w:p>
      <w:pPr>
        <w:spacing w:line="280" w:lineRule="exact"/>
        <w:ind w:firstLine="720"/>
        <w:rPr>
          <w:rFonts w:hint="eastAsia" w:eastAsia="仿宋_GB2312"/>
          <w:spacing w:val="100"/>
          <w:sz w:val="72"/>
        </w:rPr>
      </w:pPr>
    </w:p>
    <w:p>
      <w:pPr>
        <w:spacing w:line="280" w:lineRule="exact"/>
        <w:ind w:firstLine="720"/>
        <w:rPr>
          <w:rFonts w:hint="eastAsia" w:eastAsia="仿宋_GB2312"/>
          <w:spacing w:val="100"/>
          <w:sz w:val="72"/>
        </w:rPr>
      </w:pPr>
    </w:p>
    <w:p>
      <w:pPr>
        <w:spacing w:line="280" w:lineRule="exact"/>
        <w:ind w:firstLine="720"/>
        <w:rPr>
          <w:rFonts w:hint="eastAsia" w:eastAsia="仿宋_GB2312"/>
          <w:spacing w:val="100"/>
          <w:sz w:val="72"/>
        </w:rPr>
      </w:pPr>
    </w:p>
    <w:p>
      <w:pPr>
        <w:spacing w:line="720" w:lineRule="exact"/>
        <w:jc w:val="center"/>
        <w:rPr>
          <w:rFonts w:hint="eastAsia" w:ascii="方正小标宋简体" w:eastAsia="方正小标宋简体"/>
          <w:b/>
          <w:bCs/>
          <w:color w:val="FF0000"/>
          <w:w w:val="80"/>
          <w:sz w:val="68"/>
          <w:szCs w:val="66"/>
        </w:rPr>
      </w:pPr>
      <w:r>
        <w:rPr>
          <w:rFonts w:hint="eastAsia" w:ascii="方正小标宋简体" w:eastAsia="方正小标宋简体"/>
          <w:b/>
          <w:bCs/>
          <w:color w:val="FF0000"/>
          <w:w w:val="80"/>
          <w:sz w:val="68"/>
          <w:szCs w:val="66"/>
        </w:rPr>
        <w:t>上海市崇明区发展和改革委员会文件</w:t>
      </w:r>
    </w:p>
    <w:p>
      <w:pPr>
        <w:spacing w:line="400" w:lineRule="exact"/>
        <w:rPr>
          <w:rFonts w:hint="eastAsia" w:eastAsia="仿宋_GB2312"/>
          <w:color w:val="FF0000"/>
          <w:spacing w:val="-30"/>
          <w:sz w:val="44"/>
          <w:szCs w:val="44"/>
        </w:rPr>
      </w:pPr>
    </w:p>
    <w:p>
      <w:pPr>
        <w:spacing w:line="400" w:lineRule="exact"/>
        <w:rPr>
          <w:rFonts w:hint="eastAsia" w:eastAsia="仿宋_GB2312"/>
          <w:sz w:val="32"/>
        </w:rPr>
      </w:pPr>
    </w:p>
    <w:p>
      <w:pPr>
        <w:spacing w:line="360" w:lineRule="auto"/>
        <w:jc w:val="center"/>
        <w:rPr>
          <w:rFonts w:hint="default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</w:rPr>
        <w:t>沪崇发改</w:t>
      </w:r>
      <w:r>
        <w:rPr>
          <w:rFonts w:hint="eastAsia" w:ascii="仿宋_GB2312" w:eastAsia="仿宋_GB2312"/>
          <w:sz w:val="32"/>
          <w:lang w:val="en-US" w:eastAsia="zh-CN"/>
        </w:rPr>
        <w:t>价</w:t>
      </w:r>
      <w:r>
        <w:rPr>
          <w:rFonts w:hint="eastAsia" w:ascii="仿宋_GB2312" w:eastAsia="仿宋_GB2312"/>
          <w:sz w:val="32"/>
        </w:rPr>
        <w:t>〔20</w:t>
      </w:r>
      <w:r>
        <w:rPr>
          <w:rFonts w:hint="eastAsia" w:ascii="仿宋_GB2312" w:eastAsia="仿宋_GB2312"/>
          <w:sz w:val="32"/>
          <w:lang w:val="en-US" w:eastAsia="zh-CN"/>
        </w:rPr>
        <w:t>23</w:t>
      </w:r>
      <w:r>
        <w:rPr>
          <w:rFonts w:hint="eastAsia" w:ascii="仿宋_GB2312" w:eastAsia="仿宋_GB2312"/>
          <w:sz w:val="32"/>
        </w:rPr>
        <w:t>〕</w:t>
      </w:r>
      <w:r>
        <w:rPr>
          <w:rFonts w:hint="eastAsia" w:ascii="仿宋_GB2312" w:eastAsia="仿宋_GB2312"/>
          <w:sz w:val="32"/>
          <w:lang w:val="en-US" w:eastAsia="zh-CN"/>
        </w:rPr>
        <w:t>7</w:t>
      </w:r>
      <w:r>
        <w:rPr>
          <w:rFonts w:hint="eastAsia" w:ascii="仿宋_GB2312" w:eastAsia="仿宋_GB2312"/>
          <w:sz w:val="32"/>
        </w:rPr>
        <w:t>号</w:t>
      </w:r>
      <w:r>
        <w:rPr>
          <w:rFonts w:hint="eastAsia" w:ascii="仿宋_GB2312" w:eastAsia="仿宋_GB2312"/>
          <w:sz w:val="32"/>
          <w:lang w:val="en-US" w:eastAsia="zh-CN"/>
        </w:rPr>
        <w:t xml:space="preserve">                    </w:t>
      </w:r>
    </w:p>
    <w:p>
      <w:pPr>
        <w:spacing w:line="400" w:lineRule="exact"/>
        <w:rPr>
          <w:rFonts w:hint="eastAsia" w:eastAsia="仿宋_GB2312"/>
          <w:sz w:val="32"/>
        </w:rPr>
      </w:pPr>
      <w:r>
        <w:rPr>
          <w:rFonts w:hint="eastAsia" w:eastAsia="仿宋_GB2312"/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-103505</wp:posOffset>
                </wp:positionH>
                <wp:positionV relativeFrom="paragraph">
                  <wp:posOffset>101600</wp:posOffset>
                </wp:positionV>
                <wp:extent cx="5886450" cy="0"/>
                <wp:effectExtent l="0" t="9525" r="6350" b="15875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8645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8.15pt;margin-top:8pt;height:0pt;width:463.5pt;z-index:251660288;mso-width-relative:page;mso-height-relative:page;" filled="f" stroked="t" coordsize="21600,21600" o:gfxdata="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L4fYXvXAAAACQEAAA8AAAAAAAAAAQAgAAAAIgAAAGRycy9kb3ducmV2LnhtbFBL&#10;AQIUABQAAAAIAIdO4kCiPSod9wEAAOUDAAAOAAAAAAAAAAEAIAAAACYBAABkcnMvZTJvRG9jLnht&#10;bFBLBQYAAAAABgAGAFkBAACPBQAAAAA=&#10;">
                <v:fill on="f" focussize="0,0"/>
                <v:stroke weight="1.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  <w:t>关于调整本区供排水企业服务区域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36"/>
          <w:szCs w:val="36"/>
          <w:lang w:val="en-US" w:eastAsia="zh-CN"/>
        </w:rPr>
        <w:t>居民用户水价的复函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上海市崇明区水务局：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你局《上海市崇明区水务局关于调整本区水价有关事宜的函》（沪崇水务〔2023〕86号）收悉。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根据《中华人民共和国价格法》《政府制定价格行为规则》，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为进一步发挥价格杠杆的调节作用，促进水资源节约和可持续利用，保障饮用水水质，控制污水和污泥排放，切实改善世界级生态岛水环境，并促进供排水企业健康可持续发展，根据政府定价的有关规定，经召开居民水价调整听证会等形式听取各方面意见和建议，并报经区政府同意，决定调整崇明区居民用户水价。现将有关事项函复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一、调整居民阶梯水价标准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6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第一阶梯综合水价从现行的每立方米2.73元调整为3.78元，其中供水价格为每立方米2.25元，污水处理费征收标准为每立方米1.7元（按每立方米用水量90%计算，实际为每立方米1.53元）；第二阶梯综合水价从现行的每立方米4.11元调整为5.53元，其中供水价格为每立方米4.00元；第三阶梯综合水价从现行的每立方米5.11元调整为8.52元，其中供水价格为每立方米6.99元，详见下表。</w:t>
      </w:r>
    </w:p>
    <w:p>
      <w:pPr>
        <w:jc w:val="center"/>
        <w:rPr>
          <w:rFonts w:hint="eastAsia" w:ascii="宋体" w:hAnsi="宋体" w:eastAsia="宋体" w:cs="宋体"/>
          <w:b/>
          <w:bCs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32"/>
          <w:szCs w:val="32"/>
          <w:lang w:val="en-US" w:eastAsia="zh-CN"/>
        </w:rPr>
        <w:t>崇明区居民用户阶梯水价表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jc w:val="right"/>
        <w:textAlignment w:val="center"/>
        <w:outlineLvl w:val="9"/>
        <w:rPr>
          <w:rFonts w:hint="eastAsia" w:ascii="仿宋_GB2312" w:hAnsi="仿宋_GB2312" w:eastAsia="仿宋_GB2312" w:cs="仿宋_GB2312"/>
          <w:i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28"/>
          <w:szCs w:val="28"/>
          <w:u w:val="none"/>
          <w:lang w:val="en-US" w:eastAsia="zh-CN" w:bidi="ar"/>
        </w:rPr>
        <w:t>单位：元/立方米</w:t>
      </w:r>
    </w:p>
    <w:tbl>
      <w:tblPr>
        <w:tblStyle w:val="4"/>
        <w:tblW w:w="8875" w:type="dxa"/>
        <w:jc w:val="center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17"/>
        <w:gridCol w:w="2439"/>
        <w:gridCol w:w="1517"/>
        <w:gridCol w:w="1886"/>
        <w:gridCol w:w="1516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151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8"/>
                <w:szCs w:val="28"/>
                <w:u w:val="none"/>
                <w:lang w:eastAsia="zh-CN"/>
              </w:rPr>
              <w:t>项目</w:t>
            </w:r>
          </w:p>
        </w:tc>
        <w:tc>
          <w:tcPr>
            <w:tcW w:w="243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户年用水量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（立方米）</w:t>
            </w:r>
          </w:p>
        </w:tc>
        <w:tc>
          <w:tcPr>
            <w:tcW w:w="491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水价（元/立方米）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1517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43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供水价格</w:t>
            </w:r>
          </w:p>
        </w:tc>
        <w:tc>
          <w:tcPr>
            <w:tcW w:w="18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污水处理费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综合水价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第一阶梯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0-220（含）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2.25</w:t>
            </w:r>
          </w:p>
        </w:tc>
        <w:tc>
          <w:tcPr>
            <w:tcW w:w="18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1.70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3.78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第二阶梯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220-300（含）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4.00</w:t>
            </w:r>
          </w:p>
        </w:tc>
        <w:tc>
          <w:tcPr>
            <w:tcW w:w="18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5.53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第三阶梯</w:t>
            </w:r>
          </w:p>
        </w:tc>
        <w:tc>
          <w:tcPr>
            <w:tcW w:w="2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300以上</w:t>
            </w:r>
          </w:p>
        </w:tc>
        <w:tc>
          <w:tcPr>
            <w:tcW w:w="1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6.99</w:t>
            </w:r>
          </w:p>
        </w:tc>
        <w:tc>
          <w:tcPr>
            <w:tcW w:w="18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8.52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ind w:firstLine="560" w:firstLineChars="200"/>
        <w:jc w:val="both"/>
        <w:textAlignment w:val="center"/>
        <w:outlineLvl w:val="9"/>
        <w:rPr>
          <w:rFonts w:hint="eastAsia" w:ascii="仿宋_GB2312" w:hAnsi="仿宋_GB2312" w:eastAsia="仿宋_GB2312" w:cs="仿宋_GB2312"/>
          <w:i w:val="0"/>
          <w:color w:val="000000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28"/>
          <w:szCs w:val="28"/>
          <w:u w:val="none"/>
          <w:lang w:val="en-US" w:eastAsia="zh-CN" w:bidi="ar"/>
        </w:rPr>
        <w:t>注：应缴纳污水处理费=污水处理费征收标准</w:t>
      </w:r>
      <w:r>
        <w:rPr>
          <w:rFonts w:hint="default" w:ascii="仿宋_GB2312" w:hAnsi="仿宋_GB2312" w:eastAsia="仿宋_GB2312" w:cs="仿宋_GB2312"/>
          <w:i w:val="0"/>
          <w:color w:val="000000"/>
          <w:kern w:val="0"/>
          <w:sz w:val="28"/>
          <w:szCs w:val="28"/>
          <w:u w:val="none"/>
          <w:lang w:val="en-US" w:eastAsia="zh-CN" w:bidi="ar"/>
        </w:rPr>
        <w:t>×</w:t>
      </w: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28"/>
          <w:szCs w:val="28"/>
          <w:u w:val="none"/>
          <w:lang w:val="en-US" w:eastAsia="zh-CN" w:bidi="ar"/>
        </w:rPr>
        <w:t>每立方米用水量</w:t>
      </w:r>
      <w:r>
        <w:rPr>
          <w:rFonts w:hint="default" w:ascii="仿宋_GB2312" w:hAnsi="仿宋_GB2312" w:eastAsia="仿宋_GB2312" w:cs="仿宋_GB2312"/>
          <w:i w:val="0"/>
          <w:color w:val="000000"/>
          <w:kern w:val="0"/>
          <w:sz w:val="28"/>
          <w:szCs w:val="28"/>
          <w:u w:val="none"/>
          <w:lang w:val="en-US" w:eastAsia="zh-CN" w:bidi="ar"/>
        </w:rPr>
        <w:t>×</w:t>
      </w:r>
      <w:r>
        <w:rPr>
          <w:rFonts w:hint="eastAsia" w:ascii="仿宋_GB2312" w:hAnsi="仿宋_GB2312" w:eastAsia="仿宋_GB2312" w:cs="仿宋_GB2312"/>
          <w:i w:val="0"/>
          <w:color w:val="000000"/>
          <w:kern w:val="0"/>
          <w:sz w:val="28"/>
          <w:szCs w:val="28"/>
          <w:u w:val="none"/>
          <w:lang w:val="en-US" w:eastAsia="zh-CN" w:bidi="ar"/>
        </w:rPr>
        <w:t>0.9。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80" w:lineRule="exact"/>
        <w:ind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二、其他事项说明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lang w:eastAsia="zh-CN"/>
        </w:rPr>
        <w:t>1</w:t>
      </w:r>
      <w:r>
        <w:rPr>
          <w:rFonts w:hint="eastAsia" w:ascii="仿宋_GB2312" w:hAnsi="仿宋_GB2312" w:eastAsia="仿宋_GB2312" w:cs="仿宋_GB2312"/>
          <w:sz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lang w:eastAsia="zh-CN"/>
        </w:rPr>
        <w:t>居民合表用户暂不执行阶梯水价，水价按照第一阶梯综合水价执行，即由现行的每立方米</w:t>
      </w:r>
      <w:r>
        <w:rPr>
          <w:rFonts w:hint="eastAsia" w:ascii="仿宋_GB2312" w:hAnsi="仿宋_GB2312" w:eastAsia="仿宋_GB2312" w:cs="仿宋_GB2312"/>
          <w:sz w:val="32"/>
          <w:lang w:val="en-US" w:eastAsia="zh-CN"/>
        </w:rPr>
        <w:t>2.73</w:t>
      </w:r>
      <w:r>
        <w:rPr>
          <w:rFonts w:hint="eastAsia" w:ascii="仿宋_GB2312" w:hAnsi="仿宋_GB2312" w:eastAsia="仿宋_GB2312" w:cs="仿宋_GB2312"/>
          <w:sz w:val="32"/>
          <w:lang w:eastAsia="zh-CN"/>
        </w:rPr>
        <w:t>元调整为</w:t>
      </w:r>
      <w:r>
        <w:rPr>
          <w:rFonts w:hint="eastAsia" w:ascii="仿宋_GB2312" w:hAnsi="仿宋_GB2312" w:eastAsia="仿宋_GB2312" w:cs="仿宋_GB2312"/>
          <w:sz w:val="32"/>
          <w:lang w:val="en-US" w:eastAsia="zh-CN"/>
        </w:rPr>
        <w:t>3.78</w:t>
      </w:r>
      <w:r>
        <w:rPr>
          <w:rFonts w:hint="eastAsia" w:ascii="仿宋_GB2312" w:hAnsi="仿宋_GB2312" w:eastAsia="仿宋_GB2312" w:cs="仿宋_GB2312"/>
          <w:sz w:val="32"/>
          <w:lang w:eastAsia="zh-CN"/>
        </w:rPr>
        <w:t>元。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lang w:eastAsia="zh-CN"/>
        </w:rPr>
        <w:t>2</w:t>
      </w:r>
      <w:r>
        <w:rPr>
          <w:rFonts w:hint="eastAsia" w:ascii="仿宋_GB2312" w:hAnsi="仿宋_GB2312" w:eastAsia="仿宋_GB2312" w:cs="仿宋_GB2312"/>
          <w:sz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lang w:eastAsia="zh-CN"/>
        </w:rPr>
        <w:t>执行居民水价的学校教学和学生生活用水、养老机构和残疾人托养机构等社会福利场所生活用水、宗教场所生活用水、社区组织工作用房和居民公益性服务设施用水等，按照居民综合水价的平均上涨幅度执行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，即由现行的每立方米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2.93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元调整为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4.06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元，其中，供水价格为每立方米2.5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元，污水处理费征收标准为每立方米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1.70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元(按每立方米用水量90%计算，实际为每立方米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1.53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元)。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8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3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“一户多人口”政策范围继续执行《关于完善居民水、电、气阶梯价格“一户多人口”政策有关事项的通知》(沪发改价管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〔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2020</w:t>
      </w:r>
      <w:r>
        <w:rPr>
          <w:rFonts w:hint="eastAsia" w:ascii="仿宋_GB2312" w:hAnsi="仿宋_GB2312" w:eastAsia="仿宋_GB2312" w:cs="仿宋_GB2312"/>
          <w:sz w:val="32"/>
          <w:highlight w:val="none"/>
        </w:rPr>
        <w:t>〕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19号)有关规定。累计人数满5人及以上的家庭，每户每年增加100立方米阶梯水量基数;累计人数满7人及以上的家庭，既可以选择增加100立方米的阶梯水量基数，也可以选择按照居民用户综合水价的平均上涨幅度执行，即由现行的每立方米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2.93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 xml:space="preserve"> 元调整为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4.06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元。其中，供水价格为每立方米2.5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元，污水处理费征收标准为每立方米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1.70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元(按年立方米用水量90%计算，实际为每立方米1.</w:t>
      </w:r>
      <w:r>
        <w:rPr>
          <w:rFonts w:hint="eastAsia" w:ascii="仿宋_GB2312" w:hAnsi="仿宋_GB2312" w:eastAsia="仿宋_GB2312" w:cs="仿宋_GB2312"/>
          <w:sz w:val="32"/>
          <w:highlight w:val="none"/>
          <w:lang w:val="en-US" w:eastAsia="zh-CN"/>
        </w:rPr>
        <w:t>53</w:t>
      </w:r>
      <w:r>
        <w:rPr>
          <w:rFonts w:hint="eastAsia" w:ascii="仿宋_GB2312" w:hAnsi="仿宋_GB2312" w:eastAsia="仿宋_GB2312" w:cs="仿宋_GB2312"/>
          <w:sz w:val="32"/>
          <w:highlight w:val="none"/>
          <w:lang w:eastAsia="zh-CN"/>
        </w:rPr>
        <w:t>元)。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4、调价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方案自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 w:bidi="ar-SA"/>
        </w:rPr>
        <w:t>2023年11月1日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起实施。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8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三、配套措施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1、请你局抓紧组织和督促本区供排水企业等有关单位落实好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居民用户水价调整及各项配套措施，做好相关政策解释和服务工作，妥善处理好实施中的有关问题，确保调价方案平稳实施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请你局抓紧组织和督促本区供排水企业进一步加强经营管理，完善企业内部运行机制，努力降本增效。继续加强管网改造和精细化管理，切实降低产销差率和管网漏损率。进一步加强成本控制，优化人员结构，提高劳动生产率，加大欠费追缴力度，研究创新水费欠缴与社会征信等联动机制，持续提高水质安全、服务质量和管理效率水平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 w:bidi="ar-SA"/>
        </w:rPr>
        <w:t>特此复函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firstLine="4160" w:firstLineChars="1300"/>
        <w:jc w:val="both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上海市崇明区发展和改革委员会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80" w:lineRule="exact"/>
        <w:ind w:firstLine="5120" w:firstLineChars="1600"/>
        <w:jc w:val="both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2023年9月19日</w:t>
      </w:r>
    </w:p>
    <w:p/>
    <w:p/>
    <w:p/>
    <w:p/>
    <w:p/>
    <w:p/>
    <w:p/>
    <w:p/>
    <w:p/>
    <w:p/>
    <w:p/>
    <w:p/>
    <w:p/>
    <w:p/>
    <w:p/>
    <w:p/>
    <w:p/>
    <w:p/>
    <w:p/>
    <w:p/>
    <w:p/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hanging="840" w:hangingChars="300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-8890</wp:posOffset>
                </wp:positionH>
                <wp:positionV relativeFrom="paragraph">
                  <wp:posOffset>29210</wp:posOffset>
                </wp:positionV>
                <wp:extent cx="5715000" cy="0"/>
                <wp:effectExtent l="0" t="9525" r="0" b="1587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0.7pt;margin-top:2.3pt;height:0pt;width:450pt;z-index:251664384;mso-width-relative:page;mso-height-relative:page;" filled="f" stroked="t" coordsize="21600,21600" o:gfxdata="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DD2Do20wAAAAYBAAAPAAAAAAAAAAEAIAAAACIAAABkcnMvZG93bnJldi54bWxQSwECFAAUAAAA&#10;CACHTuJARYXZ0PMBAADlAwAADgAAAAAAAAABACAAAAAiAQAAZHJzL2Uyb0RvYy54bWxQSwUGAAAA&#10;AAYABgBZAQAAhw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28"/>
          <w:szCs w:val="28"/>
          <w:lang w:val="en-US" w:eastAsia="zh-CN"/>
        </w:rPr>
        <w:t>抄送：市发展改革委，区政府办公室，区财政局，区住房保障房屋管理局，区建设管理委，区生态环境局，区国资委，区统计局，区市场监管局，区消保委，区民政局，各乡镇人民政府，生态城建集团，市北宝山自来水有限公司。</w:t>
      </w:r>
    </w:p>
    <w:p>
      <w:pPr>
        <w:spacing w:line="400" w:lineRule="exact"/>
        <w:ind w:left="1121" w:leftChars="134" w:hanging="840" w:hangingChars="3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1270</wp:posOffset>
                </wp:positionH>
                <wp:positionV relativeFrom="paragraph">
                  <wp:posOffset>263525</wp:posOffset>
                </wp:positionV>
                <wp:extent cx="5715000" cy="0"/>
                <wp:effectExtent l="0" t="9525" r="0" b="15875"/>
                <wp:wrapNone/>
                <wp:docPr id="7" name="直接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.1pt;margin-top:20.75pt;height:0pt;width:450pt;z-index:251663360;mso-width-relative:page;mso-height-relative:page;" filled="f" stroked="t" coordsize="21600,21600" o:gfxdata="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LLXSNNIAAAAGAQAADwAAAAAAAAABACAAAAAiAAAAZHJzL2Rvd25yZXYueG1sUEsBAhQAFAAA&#10;AAgAh07iQPnVAMr1AQAA5QMAAA4AAAAAAAAAAQAgAAAAIQEAAGRycy9lMm9Eb2MueG1sUEsFBgAA&#10;AAAGAAYAWQEAAIg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715000" cy="0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pt;height:0pt;width:450pt;z-index:251661312;mso-width-relative:page;mso-height-relative:page;" filled="f" stroked="t" coordsize="21600,21600" o:gfxdata="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HMF&#10;qMHOAAAAAgEAAA8AAAAAAAAAAQAgAAAAIgAAAGRycy9kb3ducmV2LnhtbFBLAQIUABQAAAAIAIdO&#10;4kDyUzJ79AEAAOQDAAAOAAAAAAAAAAEAIAAAAB0BAABkcnMvZTJvRG9jLnhtbFBLBQYAAAAABgAG&#10;AFkBAACDBQAAAAA=&#10;">
                <v:fill on="f" focussize="0,0"/>
                <v:stroke weight="0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715000" cy="0"/>
                <wp:effectExtent l="0" t="0" r="0" b="0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pt;height:0pt;width:450pt;z-index:251662336;mso-width-relative:page;mso-height-relative:page;" filled="f" stroked="t" coordsize="21600,21600" o:gfxdata="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KofTdNAAAAACAQAADwAAAAAAAAABACAAAAAiAAAAZHJzL2Rvd25yZXYueG1sUEsBAhQAFAAAAAgA&#10;h07iQOta7IT0AQAA5AMAAA4AAAAAAAAAAQAgAAAAHwEAAGRycy9lMm9Eb2MueG1sUEsFBgAAAAAG&#10;AAYAWQEAAIUF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28"/>
          <w:szCs w:val="28"/>
        </w:rPr>
        <w:t>上海市崇明区发展和改革委员会办公室       2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023</w:t>
      </w:r>
      <w:r>
        <w:rPr>
          <w:rFonts w:hint="eastAsia" w:ascii="仿宋_GB2312" w:eastAsia="仿宋_GB2312"/>
          <w:sz w:val="28"/>
          <w:szCs w:val="28"/>
        </w:rPr>
        <w:t>年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9</w:t>
      </w:r>
      <w:r>
        <w:rPr>
          <w:rFonts w:hint="eastAsia" w:ascii="仿宋_GB2312" w:eastAsia="仿宋_GB2312"/>
          <w:sz w:val="28"/>
          <w:szCs w:val="28"/>
        </w:rPr>
        <w:t>月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20</w:t>
      </w:r>
      <w:r>
        <w:rPr>
          <w:rFonts w:hint="eastAsia" w:ascii="仿宋_GB2312" w:eastAsia="仿宋_GB2312"/>
          <w:sz w:val="28"/>
          <w:szCs w:val="28"/>
        </w:rPr>
        <w:t>日印发</w:t>
      </w:r>
    </w:p>
    <w:p/>
    <w:sectPr>
      <w:footerReference r:id="rId3" w:type="default"/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UxNmUyN2M1NDExYWQ2NTIwYWUyZTMzYWRkNjUxZDMifQ=="/>
  </w:docVars>
  <w:rsids>
    <w:rsidRoot w:val="4E032732"/>
    <w:rsid w:val="19B1012C"/>
    <w:rsid w:val="1B2B6F4A"/>
    <w:rsid w:val="38D72E64"/>
    <w:rsid w:val="3A5823C6"/>
    <w:rsid w:val="46413577"/>
    <w:rsid w:val="4E032732"/>
    <w:rsid w:val="7BDB2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2023-09-19T06:36:00Z</dcterms:created>
  <dc:creator>零食行人</dc:creator>
  <cp:lastModifiedBy>零食行人</cp:lastModifiedBy>
  <dcterms:modified xsi:type="dcterms:W3CDTF">2023-09-20T06:37:03Z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CF0954F629A74D5C903F65130EDBF944_13</vt:lpwstr>
  </property>
</Properties>
</file>