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庙镇</w:t>
      </w:r>
      <w:r>
        <w:rPr>
          <w:rFonts w:hint="eastAsia" w:ascii="方正小标宋简体" w:hAnsi="方正小标宋简体" w:eastAsia="方正小标宋简体" w:cs="方正小标宋简体"/>
          <w:sz w:val="44"/>
          <w:szCs w:val="44"/>
        </w:rPr>
        <w:t>关于进一步加强</w:t>
      </w:r>
      <w:r>
        <w:rPr>
          <w:rFonts w:hint="eastAsia" w:ascii="方正小标宋简体" w:hAnsi="方正小标宋简体" w:eastAsia="方正小标宋简体" w:cs="方正小标宋简体"/>
          <w:sz w:val="44"/>
          <w:szCs w:val="44"/>
          <w:lang w:eastAsia="zh-CN"/>
        </w:rPr>
        <w:t>集体“三资”管理和</w:t>
      </w:r>
    </w:p>
    <w:p>
      <w:pPr>
        <w:spacing w:line="560" w:lineRule="exact"/>
        <w:jc w:val="center"/>
        <w:rPr>
          <w:rFonts w:hint="eastAsia" w:ascii="方正小标宋简体" w:hAnsi="方正小标宋简体" w:eastAsia="方正小标宋简体" w:cs="Times New Roman"/>
          <w:sz w:val="44"/>
          <w:szCs w:val="44"/>
          <w:lang w:eastAsia="zh-CN"/>
        </w:rPr>
      </w:pPr>
      <w:r>
        <w:rPr>
          <w:rFonts w:hint="eastAsia" w:ascii="方正小标宋简体" w:hAnsi="方正小标宋简体" w:eastAsia="方正小标宋简体" w:cs="方正小标宋简体"/>
          <w:sz w:val="44"/>
          <w:szCs w:val="44"/>
        </w:rPr>
        <w:t>村级财务规范化建设的</w:t>
      </w:r>
      <w:r>
        <w:rPr>
          <w:rFonts w:hint="eastAsia" w:ascii="方正小标宋简体" w:hAnsi="方正小标宋简体" w:eastAsia="方正小标宋简体" w:cs="方正小标宋简体"/>
          <w:sz w:val="44"/>
          <w:szCs w:val="44"/>
          <w:lang w:eastAsia="zh-CN"/>
        </w:rPr>
        <w:t>意见</w:t>
      </w:r>
    </w:p>
    <w:p>
      <w:pPr>
        <w:spacing w:line="560" w:lineRule="exact"/>
        <w:rPr>
          <w:rFonts w:ascii="仿宋_GB2312" w:cs="Times New Roman"/>
        </w:rPr>
      </w:pPr>
      <w:r>
        <w:rPr>
          <w:rFonts w:hint="eastAsia" w:ascii="仿宋_GB2312" w:hAnsi="仿宋_GB2312" w:cs="仿宋_GB2312"/>
          <w:lang w:eastAsia="zh-CN"/>
        </w:rPr>
        <w:t>各村（居）、各部门（单位）</w:t>
      </w:r>
      <w:r>
        <w:rPr>
          <w:rFonts w:hint="eastAsia" w:ascii="仿宋_GB2312" w:hAnsi="仿宋_GB2312" w:cs="仿宋_GB2312"/>
        </w:rPr>
        <w:t>：</w:t>
      </w:r>
    </w:p>
    <w:p>
      <w:pPr>
        <w:spacing w:line="560" w:lineRule="exact"/>
        <w:ind w:firstLine="632" w:firstLineChars="200"/>
        <w:rPr>
          <w:rFonts w:ascii="仿宋_GB2312" w:cs="Times New Roman"/>
        </w:rPr>
      </w:pPr>
      <w:r>
        <w:rPr>
          <w:rFonts w:hint="eastAsia" w:ascii="仿宋_GB2312" w:hAnsi="仿宋_GB2312" w:cs="仿宋_GB2312"/>
        </w:rPr>
        <w:t>为切实解决财务管理规范化建设中出现的新情况</w:t>
      </w:r>
      <w:r>
        <w:rPr>
          <w:rFonts w:hint="eastAsia" w:ascii="仿宋_GB2312" w:hAnsi="仿宋_GB2312" w:cs="仿宋_GB2312"/>
          <w:lang w:eastAsia="zh-CN"/>
        </w:rPr>
        <w:t>、</w:t>
      </w:r>
      <w:r>
        <w:rPr>
          <w:rFonts w:hint="eastAsia" w:ascii="仿宋_GB2312" w:hAnsi="仿宋_GB2312" w:cs="仿宋_GB2312"/>
        </w:rPr>
        <w:t>新问题</w:t>
      </w:r>
      <w:r>
        <w:rPr>
          <w:rFonts w:hint="eastAsia" w:ascii="仿宋_GB2312" w:hAnsi="仿宋_GB2312" w:cs="仿宋_GB2312"/>
          <w:lang w:eastAsia="zh-CN"/>
        </w:rPr>
        <w:t>，</w:t>
      </w:r>
      <w:r>
        <w:rPr>
          <w:rFonts w:hint="eastAsia" w:ascii="仿宋_GB2312" w:hAnsi="仿宋_GB2312" w:cs="仿宋_GB2312"/>
        </w:rPr>
        <w:t>健全完善财务监管长效机制，保障农村</w:t>
      </w:r>
      <w:r>
        <w:rPr>
          <w:rFonts w:hint="eastAsia" w:ascii="仿宋_GB2312" w:hAnsi="仿宋_GB2312" w:cs="仿宋_GB2312"/>
          <w:lang w:eastAsia="zh-CN"/>
        </w:rPr>
        <w:t>集体</w:t>
      </w:r>
      <w:r>
        <w:rPr>
          <w:rFonts w:hint="eastAsia" w:ascii="仿宋_GB2312" w:hAnsi="仿宋_GB2312" w:cs="仿宋_GB2312"/>
        </w:rPr>
        <w:t>经济持续健康发展，</w:t>
      </w:r>
      <w:r>
        <w:rPr>
          <w:rFonts w:hint="eastAsia" w:ascii="仿宋_GB2312" w:hAnsi="仿宋_GB2312" w:cs="仿宋_GB2312"/>
          <w:lang w:eastAsia="zh-CN"/>
        </w:rPr>
        <w:t>根据市、区主管部门相关要求，结合本镇实际，制定以下意见。</w:t>
      </w:r>
    </w:p>
    <w:p>
      <w:pPr>
        <w:spacing w:line="560" w:lineRule="exact"/>
        <w:ind w:firstLine="632" w:firstLineChars="200"/>
        <w:rPr>
          <w:rFonts w:ascii="黑体" w:hAnsi="黑体" w:eastAsia="黑体" w:cs="Times New Roman"/>
        </w:rPr>
      </w:pPr>
      <w:r>
        <w:rPr>
          <w:rFonts w:hint="eastAsia" w:ascii="黑体" w:hAnsi="黑体" w:eastAsia="黑体" w:cs="黑体"/>
        </w:rPr>
        <w:t>一、健全村级财务管理制度</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（一）村级财务收支预决算制度</w:t>
      </w:r>
    </w:p>
    <w:p>
      <w:pPr>
        <w:spacing w:line="560" w:lineRule="exact"/>
        <w:ind w:firstLine="632" w:firstLineChars="200"/>
        <w:rPr>
          <w:rFonts w:ascii="仿宋_GB2312" w:cs="Times New Roman"/>
          <w:b/>
          <w:bCs/>
        </w:rPr>
      </w:pPr>
      <w:r>
        <w:rPr>
          <w:rFonts w:ascii="仿宋_GB2312" w:hAnsi="仿宋_GB2312" w:cs="仿宋_GB2312"/>
          <w:b/>
          <w:bCs/>
        </w:rPr>
        <w:t>1.</w:t>
      </w:r>
      <w:r>
        <w:rPr>
          <w:rFonts w:hint="eastAsia" w:ascii="仿宋_GB2312" w:hAnsi="仿宋_GB2312" w:cs="仿宋_GB2312"/>
          <w:b/>
          <w:bCs/>
        </w:rPr>
        <w:t>认真履行收支预算制定程序。</w:t>
      </w:r>
    </w:p>
    <w:p>
      <w:pPr>
        <w:spacing w:line="560" w:lineRule="exact"/>
        <w:ind w:firstLine="632" w:firstLineChars="200"/>
        <w:rPr>
          <w:rFonts w:ascii="仿宋_GB2312" w:cs="Times New Roman"/>
        </w:rPr>
      </w:pP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拟定草案。由村级“两委”班子（合作社理事会）和村务监督委员会（合作社监事会）按照“实事求是、统筹兼顾、增收节支、量入为出、留有余地”的原则，根据上年度财务收支的实际情况及本年度财务收支计划，提出本年度村级拟办的重大事项和村级日常开支情况，由村级财务代理记账中心会计人员协助村负责人编制本年度村级收支预算草案。</w:t>
      </w:r>
    </w:p>
    <w:p>
      <w:pPr>
        <w:spacing w:line="560" w:lineRule="exact"/>
        <w:ind w:firstLine="632" w:firstLineChars="200"/>
        <w:rPr>
          <w:rFonts w:ascii="仿宋_GB2312" w:cs="Times New Roman"/>
        </w:rPr>
      </w:pPr>
      <w:r>
        <w:rPr>
          <w:rFonts w:hint="eastAsia" w:ascii="仿宋_GB2312" w:hAnsi="仿宋_GB2312" w:cs="仿宋_GB2312"/>
        </w:rPr>
        <w:t>（</w:t>
      </w:r>
      <w:r>
        <w:rPr>
          <w:rFonts w:ascii="仿宋_GB2312" w:hAnsi="仿宋_GB2312" w:cs="仿宋_GB2312"/>
        </w:rPr>
        <w:t>2</w:t>
      </w:r>
      <w:r>
        <w:rPr>
          <w:rFonts w:hint="eastAsia" w:ascii="仿宋_GB2312" w:hAnsi="仿宋_GB2312" w:cs="仿宋_GB2312"/>
        </w:rPr>
        <w:t>）审核修订。</w:t>
      </w:r>
      <w:r>
        <w:rPr>
          <w:rFonts w:hint="eastAsia" w:ascii="仿宋_GB2312" w:hAnsi="仿宋_GB2312" w:cs="仿宋_GB2312"/>
          <w:lang w:eastAsia="zh-CN"/>
        </w:rPr>
        <w:t>镇集体资产监督管理委员会</w:t>
      </w:r>
      <w:r>
        <w:rPr>
          <w:rFonts w:hint="eastAsia" w:ascii="仿宋_GB2312" w:hAnsi="仿宋_GB2312" w:cs="仿宋_GB2312"/>
        </w:rPr>
        <w:t>对预算草案进行审核，提出意见及建议由村负责人进行修订。</w:t>
      </w:r>
    </w:p>
    <w:p>
      <w:pPr>
        <w:spacing w:line="560" w:lineRule="exact"/>
        <w:ind w:firstLine="632" w:firstLineChars="200"/>
        <w:rPr>
          <w:rFonts w:ascii="仿宋_GB2312" w:cs="Times New Roman"/>
        </w:rPr>
      </w:pPr>
      <w:r>
        <w:rPr>
          <w:rFonts w:hint="eastAsia" w:ascii="仿宋_GB2312" w:hAnsi="仿宋_GB2312" w:cs="仿宋_GB2312"/>
        </w:rPr>
        <w:t>（</w:t>
      </w:r>
      <w:r>
        <w:rPr>
          <w:rFonts w:ascii="仿宋_GB2312" w:hAnsi="仿宋_GB2312" w:cs="仿宋_GB2312"/>
        </w:rPr>
        <w:t>3</w:t>
      </w:r>
      <w:r>
        <w:rPr>
          <w:rFonts w:hint="eastAsia" w:ascii="仿宋_GB2312" w:hAnsi="仿宋_GB2312" w:cs="仿宋_GB2312"/>
        </w:rPr>
        <w:t>）民主决策。将修订后的预算草案提请村民大会或村民代表会议（合作社成员大会或成员代表会议）审议并表决通过。</w:t>
      </w:r>
    </w:p>
    <w:p>
      <w:pPr>
        <w:spacing w:line="560" w:lineRule="exact"/>
        <w:ind w:firstLine="632" w:firstLineChars="200"/>
        <w:rPr>
          <w:rFonts w:ascii="仿宋_GB2312" w:cs="Times New Roman"/>
        </w:rPr>
      </w:pPr>
      <w:r>
        <w:rPr>
          <w:rFonts w:hint="eastAsia" w:ascii="仿宋_GB2312" w:hAnsi="仿宋_GB2312" w:cs="仿宋_GB2312"/>
        </w:rPr>
        <w:t>（</w:t>
      </w:r>
      <w:r>
        <w:rPr>
          <w:rFonts w:ascii="仿宋_GB2312" w:hAnsi="仿宋_GB2312" w:cs="仿宋_GB2312"/>
        </w:rPr>
        <w:t>4</w:t>
      </w:r>
      <w:r>
        <w:rPr>
          <w:rFonts w:hint="eastAsia" w:ascii="仿宋_GB2312" w:hAnsi="仿宋_GB2312" w:cs="仿宋_GB2312"/>
        </w:rPr>
        <w:t>）实行公开。每年财务收支预算计划的编制应于当年</w:t>
      </w:r>
      <w:r>
        <w:rPr>
          <w:rFonts w:ascii="仿宋_GB2312" w:hAnsi="仿宋_GB2312" w:cs="仿宋_GB2312"/>
        </w:rPr>
        <w:t>3</w:t>
      </w:r>
      <w:r>
        <w:rPr>
          <w:rFonts w:hint="eastAsia" w:ascii="仿宋_GB2312" w:hAnsi="仿宋_GB2312" w:cs="仿宋_GB2312"/>
        </w:rPr>
        <w:t>月底前完成，预算决议在村财务公开栏内进行公示，并报</w:t>
      </w:r>
      <w:r>
        <w:rPr>
          <w:rFonts w:hint="eastAsia" w:ascii="仿宋_GB2312" w:hAnsi="仿宋_GB2312" w:cs="仿宋_GB2312"/>
          <w:lang w:eastAsia="zh-CN"/>
        </w:rPr>
        <w:t>镇集体资产监督管理委员会</w:t>
      </w:r>
      <w:r>
        <w:rPr>
          <w:rFonts w:hint="eastAsia" w:ascii="仿宋_GB2312" w:hAnsi="仿宋_GB2312" w:cs="仿宋_GB2312"/>
        </w:rPr>
        <w:t>备案。</w:t>
      </w:r>
    </w:p>
    <w:p>
      <w:pPr>
        <w:spacing w:line="560" w:lineRule="exact"/>
        <w:ind w:firstLine="632" w:firstLineChars="200"/>
        <w:rPr>
          <w:rFonts w:ascii="仿宋_GB2312" w:cs="Times New Roman"/>
        </w:rPr>
      </w:pPr>
      <w:r>
        <w:rPr>
          <w:rFonts w:ascii="仿宋_GB2312" w:hAnsi="仿宋_GB2312" w:cs="仿宋_GB2312"/>
          <w:b/>
          <w:bCs/>
        </w:rPr>
        <w:t>2.</w:t>
      </w:r>
      <w:r>
        <w:rPr>
          <w:rFonts w:hint="eastAsia" w:ascii="仿宋_GB2312" w:hAnsi="仿宋_GB2312" w:cs="仿宋_GB2312"/>
          <w:b/>
          <w:bCs/>
        </w:rPr>
        <w:t>严格执行收支预算。</w:t>
      </w:r>
      <w:r>
        <w:rPr>
          <w:rFonts w:hint="eastAsia" w:ascii="仿宋_GB2312" w:hAnsi="仿宋_GB2312" w:cs="仿宋_GB2312"/>
        </w:rPr>
        <w:t>未列入预算或超预算项目原则上不得实施，确需实施的，必须履行预算追加程序，由村级“两委”班子（合作社理事会）和村务监督委员会（合作社监事会）拟定草案，经</w:t>
      </w:r>
      <w:r>
        <w:rPr>
          <w:rFonts w:hint="eastAsia" w:ascii="仿宋_GB2312" w:hAnsi="仿宋_GB2312" w:cs="仿宋_GB2312"/>
          <w:lang w:eastAsia="zh-CN"/>
        </w:rPr>
        <w:t>镇集体资产监督管理委员会</w:t>
      </w:r>
      <w:r>
        <w:rPr>
          <w:rFonts w:hint="eastAsia" w:ascii="仿宋_GB2312" w:hAnsi="仿宋_GB2312" w:cs="仿宋_GB2312"/>
        </w:rPr>
        <w:t>审核同意，再由村民大会或村民代表会议（合作社成员大会或成员代表会议）讨论并表决通过后，报</w:t>
      </w:r>
      <w:r>
        <w:rPr>
          <w:rFonts w:hint="eastAsia" w:ascii="仿宋_GB2312" w:hAnsi="仿宋_GB2312" w:cs="仿宋_GB2312"/>
          <w:lang w:eastAsia="zh-CN"/>
        </w:rPr>
        <w:t>镇集体资产监督管理委员会</w:t>
      </w:r>
      <w:r>
        <w:rPr>
          <w:rFonts w:hint="eastAsia" w:ascii="仿宋_GB2312" w:hAnsi="仿宋_GB2312" w:cs="仿宋_GB2312"/>
        </w:rPr>
        <w:t>备案并公示。</w:t>
      </w:r>
    </w:p>
    <w:p>
      <w:pPr>
        <w:spacing w:line="560" w:lineRule="exact"/>
        <w:ind w:firstLine="632" w:firstLineChars="200"/>
        <w:rPr>
          <w:rFonts w:hint="eastAsia" w:ascii="仿宋_GB2312" w:eastAsia="仿宋_GB2312" w:cs="Times New Roman"/>
          <w:lang w:eastAsia="zh-CN"/>
        </w:rPr>
      </w:pPr>
      <w:r>
        <w:rPr>
          <w:rFonts w:ascii="仿宋_GB2312" w:hAnsi="仿宋_GB2312" w:cs="仿宋_GB2312"/>
          <w:b/>
          <w:bCs/>
        </w:rPr>
        <w:t>3.</w:t>
      </w:r>
      <w:r>
        <w:rPr>
          <w:rFonts w:hint="eastAsia" w:ascii="仿宋_GB2312" w:hAnsi="仿宋_GB2312" w:cs="仿宋_GB2312"/>
          <w:b/>
          <w:bCs/>
        </w:rPr>
        <w:t>及时编制收支决算。</w:t>
      </w:r>
      <w:r>
        <w:rPr>
          <w:rFonts w:hint="eastAsia" w:ascii="仿宋_GB2312" w:hAnsi="仿宋_GB2312" w:cs="仿宋_GB2312"/>
        </w:rPr>
        <w:t>年度终了后，要及时编制年度财务收支决算，总结年度财务收支预算计划的执行情况。村民大会或村民代表会议（合作社成员大会或成员代表会议）对财务收支决算审议并表决通过后于次年</w:t>
      </w:r>
      <w:r>
        <w:rPr>
          <w:rFonts w:ascii="仿宋_GB2312" w:hAnsi="仿宋_GB2312" w:cs="仿宋_GB2312"/>
        </w:rPr>
        <w:t>3</w:t>
      </w:r>
      <w:r>
        <w:rPr>
          <w:rFonts w:hint="eastAsia" w:ascii="仿宋_GB2312" w:hAnsi="仿宋_GB2312" w:cs="仿宋_GB2312"/>
        </w:rPr>
        <w:t>月底前在村务公开栏公示，同时上报</w:t>
      </w:r>
      <w:r>
        <w:rPr>
          <w:rFonts w:hint="eastAsia" w:ascii="仿宋_GB2312" w:hAnsi="仿宋_GB2312" w:cs="仿宋_GB2312"/>
          <w:lang w:eastAsia="zh-CN"/>
        </w:rPr>
        <w:t>镇集体资产监督管理委员会</w:t>
      </w:r>
      <w:r>
        <w:rPr>
          <w:rFonts w:hint="eastAsia" w:ascii="仿宋_GB2312" w:hAnsi="仿宋_GB2312" w:cs="仿宋_GB2312"/>
        </w:rPr>
        <w:t>备案（上年度收支决算和本年度收支预算可同时编制）</w:t>
      </w:r>
      <w:r>
        <w:rPr>
          <w:rFonts w:hint="eastAsia" w:ascii="仿宋_GB2312" w:hAnsi="仿宋_GB2312" w:cs="仿宋_GB2312"/>
          <w:lang w:eastAsia="zh-CN"/>
        </w:rPr>
        <w:t>。</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（二）债权债务管理制度</w:t>
      </w:r>
    </w:p>
    <w:p>
      <w:pPr>
        <w:spacing w:line="560" w:lineRule="exact"/>
        <w:ind w:firstLine="632" w:firstLineChars="200"/>
        <w:rPr>
          <w:rFonts w:hint="eastAsia" w:ascii="仿宋_GB2312" w:hAnsi="仿宋_GB2312" w:cs="仿宋_GB2312"/>
        </w:rPr>
      </w:pPr>
      <w:r>
        <w:rPr>
          <w:rFonts w:ascii="仿宋_GB2312" w:hAnsi="仿宋_GB2312" w:cs="仿宋_GB2312"/>
          <w:b/>
          <w:bCs/>
        </w:rPr>
        <w:t>1.</w:t>
      </w:r>
      <w:r>
        <w:rPr>
          <w:rFonts w:hint="eastAsia" w:ascii="仿宋_GB2312" w:hAnsi="仿宋_GB2312" w:cs="仿宋_GB2312"/>
          <w:b/>
          <w:bCs/>
        </w:rPr>
        <w:t>规范债权债务管理。</w:t>
      </w:r>
      <w:r>
        <w:rPr>
          <w:rFonts w:hint="eastAsia" w:ascii="仿宋_GB2312" w:hAnsi="仿宋_GB2312" w:cs="仿宋_GB2312"/>
        </w:rPr>
        <w:t>要加强内部控制，对超过一年的债权</w:t>
      </w:r>
    </w:p>
    <w:p>
      <w:pPr>
        <w:spacing w:line="560" w:lineRule="exact"/>
        <w:rPr>
          <w:rFonts w:ascii="仿宋_GB2312" w:cs="Times New Roman"/>
        </w:rPr>
      </w:pPr>
      <w:r>
        <w:rPr>
          <w:rFonts w:hint="eastAsia" w:ascii="仿宋_GB2312" w:hAnsi="仿宋_GB2312" w:cs="仿宋_GB2312"/>
        </w:rPr>
        <w:t>必须每年发《询证函》予以确认，做到手续齐全，责任明确，并保留催收记录。对确需核销的坏账呆账或不需支付的款项，必须按照相关规定程序予以核销。</w:t>
      </w:r>
    </w:p>
    <w:p>
      <w:pPr>
        <w:spacing w:line="560" w:lineRule="exact"/>
        <w:ind w:firstLine="632" w:firstLineChars="200"/>
        <w:rPr>
          <w:rFonts w:ascii="仿宋_GB2312" w:cs="Times New Roman"/>
        </w:rPr>
      </w:pPr>
      <w:r>
        <w:rPr>
          <w:rFonts w:ascii="仿宋_GB2312" w:hAnsi="仿宋_GB2312" w:cs="仿宋_GB2312"/>
          <w:b/>
          <w:bCs/>
        </w:rPr>
        <w:t>2.</w:t>
      </w:r>
      <w:r>
        <w:rPr>
          <w:rFonts w:hint="eastAsia" w:ascii="仿宋_GB2312" w:hAnsi="仿宋_GB2312" w:cs="仿宋_GB2312"/>
          <w:b/>
          <w:bCs/>
        </w:rPr>
        <w:t>积极制止新债产生。</w:t>
      </w:r>
      <w:r>
        <w:rPr>
          <w:rFonts w:hint="eastAsia" w:ascii="仿宋_GB2312" w:hAnsi="仿宋_GB2312" w:cs="仿宋_GB2312"/>
        </w:rPr>
        <w:t>年度终了后，</w:t>
      </w:r>
      <w:r>
        <w:rPr>
          <w:rFonts w:hint="eastAsia" w:ascii="仿宋_GB2312" w:hAnsi="仿宋_GB2312" w:cs="仿宋_GB2312"/>
          <w:lang w:eastAsia="zh-CN"/>
        </w:rPr>
        <w:t>如</w:t>
      </w:r>
      <w:r>
        <w:rPr>
          <w:rFonts w:hint="eastAsia" w:ascii="仿宋_GB2312" w:hAnsi="仿宋_GB2312" w:cs="仿宋_GB2312"/>
        </w:rPr>
        <w:t>本年度内产生新的债务，村级组织要明确化解措施及期限</w:t>
      </w:r>
      <w:r>
        <w:rPr>
          <w:rFonts w:hint="eastAsia" w:ascii="仿宋_GB2312" w:hAnsi="仿宋_GB2312" w:cs="仿宋_GB2312"/>
          <w:lang w:eastAsia="zh-CN"/>
        </w:rPr>
        <w:t>，</w:t>
      </w:r>
      <w:r>
        <w:rPr>
          <w:rFonts w:hint="eastAsia" w:ascii="仿宋_GB2312" w:hAnsi="仿宋_GB2312" w:cs="仿宋_GB2312"/>
        </w:rPr>
        <w:t>并在村务公开栏中予以公示，</w:t>
      </w:r>
      <w:r>
        <w:rPr>
          <w:rFonts w:hint="eastAsia" w:ascii="仿宋_GB2312" w:hAnsi="仿宋_GB2312" w:cs="仿宋_GB2312"/>
          <w:lang w:eastAsia="zh-CN"/>
        </w:rPr>
        <w:t>镇</w:t>
      </w:r>
      <w:r>
        <w:rPr>
          <w:rFonts w:hint="eastAsia" w:ascii="仿宋_GB2312" w:hAnsi="仿宋_GB2312" w:cs="仿宋_GB2312"/>
        </w:rPr>
        <w:t>财政将扣减当年该村等额的财政转移支付资金。</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（三）重大事项民主决策制度</w:t>
      </w:r>
    </w:p>
    <w:p>
      <w:pPr>
        <w:spacing w:line="560" w:lineRule="exact"/>
        <w:ind w:firstLine="632" w:firstLineChars="200"/>
        <w:rPr>
          <w:rFonts w:ascii="仿宋_GB2312" w:cs="Times New Roman"/>
        </w:rPr>
      </w:pPr>
      <w:r>
        <w:rPr>
          <w:rFonts w:hint="eastAsia" w:ascii="仿宋_GB2312" w:hAnsi="仿宋_GB2312" w:cs="仿宋_GB2312"/>
        </w:rPr>
        <w:t>凡涉及到村民（成员）切身利益的事项和重大经济活动，包括</w:t>
      </w:r>
      <w:r>
        <w:rPr>
          <w:rFonts w:hint="eastAsia" w:ascii="仿宋_GB2312" w:hAnsi="仿宋_GB2312" w:cs="仿宋_GB2312"/>
          <w:lang w:eastAsia="zh-CN"/>
        </w:rPr>
        <w:t>财务预决算</w:t>
      </w:r>
      <w:r>
        <w:rPr>
          <w:rFonts w:hint="eastAsia" w:ascii="仿宋_GB2312" w:hAnsi="仿宋_GB2312" w:cs="仿宋_GB2312"/>
        </w:rPr>
        <w:t>、</w:t>
      </w:r>
      <w:r>
        <w:rPr>
          <w:rFonts w:hint="eastAsia" w:ascii="仿宋_GB2312" w:hAnsi="仿宋_GB2312" w:cs="仿宋_GB2312"/>
          <w:lang w:eastAsia="zh-CN"/>
        </w:rPr>
        <w:t>重大</w:t>
      </w:r>
      <w:r>
        <w:rPr>
          <w:rFonts w:hint="eastAsia" w:ascii="仿宋_GB2312" w:hAnsi="仿宋_GB2312" w:cs="仿宋_GB2312"/>
        </w:rPr>
        <w:t>投资、重大项目建设、大额资金使用</w:t>
      </w:r>
      <w:r>
        <w:rPr>
          <w:rFonts w:hint="eastAsia" w:ascii="仿宋_GB2312" w:hAnsi="仿宋_GB2312" w:cs="仿宋_GB2312"/>
          <w:lang w:eastAsia="zh-CN"/>
        </w:rPr>
        <w:t>、</w:t>
      </w:r>
      <w:r>
        <w:rPr>
          <w:rFonts w:hint="eastAsia" w:ascii="仿宋_GB2312" w:hAnsi="仿宋_GB2312" w:cs="仿宋_GB2312"/>
        </w:rPr>
        <w:t>重大资产出租处置</w:t>
      </w:r>
      <w:r>
        <w:rPr>
          <w:rFonts w:hint="eastAsia" w:ascii="仿宋_GB2312" w:hAnsi="仿宋_GB2312" w:cs="仿宋_GB2312"/>
          <w:lang w:eastAsia="zh-CN"/>
        </w:rPr>
        <w:t>等</w:t>
      </w:r>
      <w:r>
        <w:rPr>
          <w:rFonts w:hint="eastAsia" w:ascii="仿宋_GB2312" w:hAnsi="仿宋_GB2312" w:cs="仿宋_GB2312"/>
        </w:rPr>
        <w:t>重大事项必须严格履行</w:t>
      </w:r>
      <w:r>
        <w:rPr>
          <w:rFonts w:hint="eastAsia" w:ascii="仿宋_GB2312" w:hAnsi="仿宋_GB2312" w:cs="仿宋_GB2312"/>
          <w:lang w:eastAsia="zh-CN"/>
        </w:rPr>
        <w:t>“四议两公开”等</w:t>
      </w:r>
      <w:r>
        <w:rPr>
          <w:rFonts w:hint="eastAsia" w:ascii="仿宋_GB2312" w:hAnsi="仿宋_GB2312" w:cs="仿宋_GB2312"/>
        </w:rPr>
        <w:t>相关程序，方案</w:t>
      </w:r>
      <w:r>
        <w:rPr>
          <w:rFonts w:hint="eastAsia" w:ascii="仿宋_GB2312" w:hAnsi="仿宋_GB2312" w:cs="仿宋_GB2312"/>
          <w:lang w:eastAsia="zh-CN"/>
        </w:rPr>
        <w:t>必须报镇集体资产监督管理委员会预</w:t>
      </w:r>
      <w:r>
        <w:rPr>
          <w:rFonts w:hint="eastAsia" w:ascii="仿宋_GB2312" w:hAnsi="仿宋_GB2312" w:cs="仿宋_GB2312"/>
        </w:rPr>
        <w:t>审</w:t>
      </w:r>
      <w:r>
        <w:rPr>
          <w:rFonts w:hint="eastAsia" w:ascii="仿宋_GB2312" w:hAnsi="仿宋_GB2312" w:cs="仿宋_GB2312"/>
          <w:lang w:eastAsia="zh-CN"/>
        </w:rPr>
        <w:t>备案</w:t>
      </w:r>
      <w:r>
        <w:rPr>
          <w:rFonts w:hint="eastAsia" w:ascii="仿宋_GB2312" w:hAnsi="仿宋_GB2312" w:cs="仿宋_GB2312"/>
        </w:rPr>
        <w:t>，</w:t>
      </w:r>
      <w:r>
        <w:rPr>
          <w:rFonts w:hint="eastAsia" w:ascii="仿宋_GB2312" w:hAnsi="仿宋_GB2312" w:cs="仿宋_GB2312"/>
          <w:lang w:eastAsia="zh-CN"/>
        </w:rPr>
        <w:t>预审通过后</w:t>
      </w:r>
      <w:r>
        <w:rPr>
          <w:rFonts w:hint="eastAsia" w:ascii="仿宋_GB2312" w:hAnsi="仿宋_GB2312" w:cs="仿宋_GB2312"/>
        </w:rPr>
        <w:t>由村民大会或村民代表会议（合作社成员大会或成员代表会议）讨论并表决通过，公示审议结果后执行。</w:t>
      </w:r>
    </w:p>
    <w:p>
      <w:pPr>
        <w:numPr>
          <w:ilvl w:val="0"/>
          <w:numId w:val="0"/>
        </w:numPr>
        <w:spacing w:line="560" w:lineRule="exact"/>
        <w:ind w:firstLine="632" w:firstLineChars="200"/>
        <w:rPr>
          <w:rFonts w:hint="eastAsia" w:ascii="楷体_GB2312" w:hAnsi="楷体_GB2312" w:eastAsia="楷体_GB2312" w:cs="Times New Roman"/>
          <w:b w:val="0"/>
          <w:bCs w:val="0"/>
          <w:lang w:eastAsia="zh-CN"/>
        </w:rPr>
      </w:pPr>
      <w:r>
        <w:rPr>
          <w:rFonts w:hint="eastAsia" w:ascii="楷体_GB2312" w:hAnsi="楷体_GB2312" w:eastAsia="楷体_GB2312" w:cs="楷体_GB2312"/>
          <w:b w:val="0"/>
          <w:bCs w:val="0"/>
          <w:lang w:eastAsia="zh-CN"/>
        </w:rPr>
        <w:t>（四）</w:t>
      </w:r>
      <w:r>
        <w:rPr>
          <w:rFonts w:hint="eastAsia" w:ascii="楷体_GB2312" w:hAnsi="楷体_GB2312" w:eastAsia="楷体_GB2312" w:cs="楷体_GB2312"/>
          <w:b w:val="0"/>
          <w:bCs w:val="0"/>
        </w:rPr>
        <w:t>民主理财制度</w:t>
      </w:r>
      <w:r>
        <w:rPr>
          <w:rFonts w:hint="eastAsia" w:ascii="楷体_GB2312" w:hAnsi="楷体_GB2312" w:eastAsia="楷体_GB2312" w:cs="楷体_GB2312"/>
          <w:b w:val="0"/>
          <w:bCs w:val="0"/>
          <w:lang w:eastAsia="zh-CN"/>
        </w:rPr>
        <w:t>和财务监督制度</w:t>
      </w:r>
    </w:p>
    <w:p>
      <w:pPr>
        <w:spacing w:line="560" w:lineRule="exact"/>
        <w:ind w:firstLine="632" w:firstLineChars="200"/>
        <w:rPr>
          <w:rFonts w:ascii="仿宋_GB2312" w:cs="Times New Roman"/>
        </w:rPr>
      </w:pPr>
      <w:r>
        <w:rPr>
          <w:rFonts w:hint="eastAsia" w:ascii="仿宋_GB2312" w:hAnsi="仿宋_GB2312" w:cs="仿宋_GB2312"/>
        </w:rPr>
        <w:t>村务监督委员会</w:t>
      </w:r>
      <w:r>
        <w:rPr>
          <w:rFonts w:hint="eastAsia" w:ascii="仿宋_GB2312" w:hAnsi="仿宋_GB2312" w:cs="仿宋_GB2312"/>
          <w:lang w:eastAsia="zh-CN"/>
        </w:rPr>
        <w:t>（合作社</w:t>
      </w:r>
      <w:r>
        <w:rPr>
          <w:rFonts w:hint="eastAsia" w:ascii="仿宋_GB2312" w:hAnsi="仿宋_GB2312" w:cs="仿宋_GB2312"/>
        </w:rPr>
        <w:t>监事会</w:t>
      </w:r>
      <w:r>
        <w:rPr>
          <w:rFonts w:hint="eastAsia" w:ascii="仿宋_GB2312" w:hAnsi="仿宋_GB2312" w:cs="仿宋_GB2312"/>
          <w:lang w:eastAsia="zh-CN"/>
        </w:rPr>
        <w:t>）</w:t>
      </w:r>
      <w:r>
        <w:rPr>
          <w:rFonts w:hint="eastAsia" w:ascii="仿宋_GB2312" w:hAnsi="仿宋_GB2312" w:cs="仿宋_GB2312"/>
        </w:rPr>
        <w:t>分别作为村民委员会和村级集体经济组织的内部监督机构，要认真履行村级财务监督权。每月开展民主理财和财务监督工作，认真做好民主理财活动记录，每年至少一次向村民大会或村民代表会议（合作社成员大会或成员代表会议）报告理财结果，要充分发挥对财务制度落实、财务预算执行、村级财务管理、农村集体“三资”管理、重大财务决策等事项的监督职能。</w:t>
      </w:r>
    </w:p>
    <w:p>
      <w:pPr>
        <w:numPr>
          <w:ilvl w:val="0"/>
          <w:numId w:val="0"/>
        </w:num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（五）</w:t>
      </w:r>
      <w:r>
        <w:rPr>
          <w:rFonts w:hint="eastAsia" w:ascii="楷体_GB2312" w:hAnsi="楷体_GB2312" w:eastAsia="楷体_GB2312" w:cs="楷体_GB2312"/>
          <w:b w:val="0"/>
          <w:bCs w:val="0"/>
        </w:rPr>
        <w:t>工程项目建设制度</w:t>
      </w:r>
    </w:p>
    <w:p>
      <w:pPr>
        <w:spacing w:line="560" w:lineRule="exact"/>
        <w:ind w:firstLine="632" w:firstLineChars="200"/>
        <w:rPr>
          <w:rFonts w:hint="eastAsia" w:ascii="仿宋_GB2312" w:hAnsi="仿宋_GB2312" w:cs="仿宋_GB2312"/>
        </w:rPr>
      </w:pPr>
      <w:r>
        <w:rPr>
          <w:rFonts w:hint="eastAsia" w:ascii="仿宋_GB2312" w:hAnsi="仿宋_GB2312" w:cs="仿宋_GB2312"/>
          <w:lang w:eastAsia="zh-CN"/>
        </w:rPr>
        <w:t>项目建设必须列入年度计划，</w:t>
      </w:r>
      <w:r>
        <w:rPr>
          <w:rFonts w:hint="eastAsia" w:ascii="仿宋_GB2312" w:hAnsi="仿宋_GB2312" w:cs="仿宋_GB2312"/>
          <w:lang w:val="en-US" w:eastAsia="zh-CN"/>
        </w:rPr>
        <w:t>项目实施严格</w:t>
      </w:r>
      <w:r>
        <w:rPr>
          <w:rFonts w:hint="eastAsia" w:ascii="仿宋_GB2312" w:hAnsi="仿宋_GB2312" w:cs="仿宋_GB2312"/>
          <w:lang w:eastAsia="zh-CN"/>
        </w:rPr>
        <w:t>按照</w:t>
      </w:r>
      <w:r>
        <w:rPr>
          <w:rFonts w:hint="eastAsia" w:ascii="仿宋_GB2312" w:hAnsi="仿宋_GB2312" w:cs="仿宋_GB2312"/>
          <w:highlight w:val="none"/>
          <w:lang w:eastAsia="zh-CN"/>
        </w:rPr>
        <w:t>《庙镇小型建设工程项目管理办法》执行，</w:t>
      </w:r>
      <w:r>
        <w:rPr>
          <w:rFonts w:hint="eastAsia" w:ascii="仿宋_GB2312" w:hAnsi="仿宋_GB2312" w:cs="仿宋_GB2312"/>
          <w:lang w:eastAsia="zh-CN"/>
        </w:rPr>
        <w:t>对</w:t>
      </w:r>
      <w:r>
        <w:rPr>
          <w:rFonts w:hint="eastAsia" w:ascii="仿宋_GB2312" w:hAnsi="仿宋_GB2312" w:cs="仿宋_GB2312"/>
          <w:lang w:val="en-US" w:eastAsia="zh-CN"/>
        </w:rPr>
        <w:t>五万元以下的小型项目按照《庙镇关于进一步加强村级五万元以下小型项目规范管理的通知》执行。五万元以上的项目要</w:t>
      </w:r>
      <w:r>
        <w:rPr>
          <w:rFonts w:hint="eastAsia" w:ascii="仿宋_GB2312" w:hAnsi="仿宋_GB2312" w:cs="仿宋_GB2312"/>
        </w:rPr>
        <w:t>严格履行工程项目立项、招投标、预决算、建设施工、质量验收</w:t>
      </w:r>
      <w:r>
        <w:rPr>
          <w:rFonts w:hint="eastAsia" w:ascii="仿宋_GB2312" w:hAnsi="仿宋_GB2312" w:cs="仿宋_GB2312"/>
          <w:lang w:eastAsia="zh-CN"/>
        </w:rPr>
        <w:t>、工程审价</w:t>
      </w:r>
      <w:r>
        <w:rPr>
          <w:rFonts w:hint="eastAsia" w:ascii="仿宋_GB2312" w:hAnsi="仿宋_GB2312" w:cs="仿宋_GB2312"/>
        </w:rPr>
        <w:t>等程序</w:t>
      </w:r>
      <w:r>
        <w:rPr>
          <w:rFonts w:hint="eastAsia" w:ascii="仿宋_GB2312" w:hAnsi="仿宋_GB2312" w:cs="仿宋_GB2312"/>
          <w:lang w:eastAsia="zh-CN"/>
        </w:rPr>
        <w:t>。</w:t>
      </w:r>
      <w:r>
        <w:rPr>
          <w:rFonts w:hint="eastAsia" w:ascii="仿宋_GB2312" w:hAnsi="仿宋_GB2312" w:cs="仿宋_GB2312"/>
        </w:rPr>
        <w:t>凡重大工程项目，必须实行单项预决算。村务监督委员会（合作社监事会）要参与村级组织实施的工程招投标、项目管理和验收，并在验收报告上出具意见并签名。经济合同、招投标方案及有关资料须及时归档并报</w:t>
      </w:r>
      <w:r>
        <w:rPr>
          <w:rFonts w:hint="eastAsia" w:ascii="仿宋_GB2312" w:hAnsi="仿宋_GB2312" w:cs="仿宋_GB2312"/>
          <w:lang w:eastAsia="zh-CN"/>
        </w:rPr>
        <w:t>镇集体资产监督管理委员会</w:t>
      </w:r>
      <w:r>
        <w:rPr>
          <w:rFonts w:hint="eastAsia" w:ascii="仿宋_GB2312" w:hAnsi="仿宋_GB2312" w:cs="仿宋_GB2312"/>
        </w:rPr>
        <w:t>备案。</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（六）</w:t>
      </w:r>
      <w:r>
        <w:rPr>
          <w:rFonts w:hint="eastAsia" w:ascii="楷体_GB2312" w:hAnsi="楷体_GB2312" w:eastAsia="楷体_GB2312" w:cs="楷体_GB2312"/>
          <w:b w:val="0"/>
          <w:bCs w:val="0"/>
        </w:rPr>
        <w:t>财务公开</w:t>
      </w:r>
      <w:r>
        <w:rPr>
          <w:rFonts w:hint="eastAsia" w:ascii="楷体_GB2312" w:hAnsi="楷体_GB2312" w:eastAsia="楷体_GB2312" w:cs="楷体_GB2312"/>
          <w:b w:val="0"/>
          <w:bCs w:val="0"/>
          <w:lang w:eastAsia="zh-CN"/>
        </w:rPr>
        <w:t>公示</w:t>
      </w:r>
      <w:r>
        <w:rPr>
          <w:rFonts w:hint="eastAsia" w:ascii="楷体_GB2312" w:hAnsi="楷体_GB2312" w:eastAsia="楷体_GB2312" w:cs="楷体_GB2312"/>
          <w:b w:val="0"/>
          <w:bCs w:val="0"/>
        </w:rPr>
        <w:t>制度</w:t>
      </w:r>
    </w:p>
    <w:p>
      <w:pPr>
        <w:spacing w:line="560" w:lineRule="exact"/>
        <w:ind w:firstLine="632" w:firstLineChars="200"/>
        <w:rPr>
          <w:rFonts w:ascii="仿宋_GB2312" w:cs="Times New Roman"/>
        </w:rPr>
      </w:pPr>
      <w:r>
        <w:rPr>
          <w:rFonts w:hint="eastAsia" w:ascii="仿宋_GB2312" w:hAnsi="仿宋_GB2312" w:cs="仿宋_GB2312"/>
        </w:rPr>
        <w:t>每年</w:t>
      </w:r>
      <w:r>
        <w:rPr>
          <w:rFonts w:ascii="仿宋_GB2312" w:hAnsi="仿宋_GB2312" w:cs="仿宋_GB2312"/>
        </w:rPr>
        <w:t>3</w:t>
      </w:r>
      <w:r>
        <w:rPr>
          <w:rFonts w:hint="eastAsia" w:ascii="仿宋_GB2312" w:hAnsi="仿宋_GB2312" w:cs="仿宋_GB2312"/>
        </w:rPr>
        <w:t>月底前公示年度收支预决算表、村干部工作报酬明细表和集体资产承包租赁情况表</w:t>
      </w:r>
      <w:r>
        <w:rPr>
          <w:rFonts w:hint="eastAsia" w:ascii="仿宋_GB2312" w:hAnsi="仿宋_GB2312" w:cs="仿宋_GB2312"/>
          <w:lang w:eastAsia="zh-CN"/>
        </w:rPr>
        <w:t>。</w:t>
      </w:r>
      <w:r>
        <w:rPr>
          <w:rFonts w:hint="eastAsia" w:ascii="仿宋_GB2312" w:hAnsi="仿宋_GB2312" w:cs="仿宋_GB2312"/>
        </w:rPr>
        <w:t>每月</w:t>
      </w:r>
      <w:r>
        <w:rPr>
          <w:rFonts w:ascii="仿宋_GB2312" w:hAnsi="仿宋_GB2312" w:cs="仿宋_GB2312"/>
        </w:rPr>
        <w:t>20</w:t>
      </w:r>
      <w:r>
        <w:rPr>
          <w:rFonts w:hint="eastAsia" w:ascii="仿宋_GB2312" w:hAnsi="仿宋_GB2312" w:cs="仿宋_GB2312"/>
        </w:rPr>
        <w:t>日前公示资产负债表、收入支出明细表、收益及收益分配表、劳务用工登记表、民主理财情况以及其他需要公示的重大财务事项</w:t>
      </w:r>
      <w:r>
        <w:rPr>
          <w:rFonts w:hint="eastAsia" w:ascii="仿宋_GB2312" w:hAnsi="仿宋_GB2312" w:cs="仿宋_GB2312"/>
          <w:lang w:eastAsia="zh-CN"/>
        </w:rPr>
        <w:t>。</w:t>
      </w:r>
      <w:r>
        <w:rPr>
          <w:rFonts w:hint="eastAsia" w:ascii="仿宋_GB2312" w:hAnsi="仿宋_GB2312" w:cs="仿宋_GB2312"/>
        </w:rPr>
        <w:t>年</w:t>
      </w:r>
      <w:r>
        <w:rPr>
          <w:rFonts w:hint="eastAsia" w:ascii="仿宋_GB2312" w:hAnsi="仿宋_GB2312" w:cs="仿宋_GB2312"/>
          <w:lang w:eastAsia="zh-CN"/>
        </w:rPr>
        <w:t>度</w:t>
      </w:r>
      <w:r>
        <w:rPr>
          <w:rFonts w:hint="eastAsia" w:ascii="仿宋_GB2312" w:hAnsi="仿宋_GB2312" w:cs="仿宋_GB2312"/>
        </w:rPr>
        <w:t>审计结束后须公示审计结果和审计整改情况。</w:t>
      </w:r>
    </w:p>
    <w:p>
      <w:pPr>
        <w:spacing w:line="560" w:lineRule="exact"/>
        <w:ind w:firstLine="632" w:firstLineChars="200"/>
        <w:rPr>
          <w:rFonts w:ascii="黑体" w:hAnsi="黑体" w:eastAsia="黑体" w:cs="Times New Roman"/>
        </w:rPr>
      </w:pPr>
      <w:r>
        <w:rPr>
          <w:rFonts w:hint="eastAsia" w:ascii="黑体" w:hAnsi="黑体" w:eastAsia="黑体" w:cs="黑体"/>
        </w:rPr>
        <w:t>二、加强村级</w:t>
      </w:r>
      <w:r>
        <w:rPr>
          <w:rFonts w:hint="eastAsia" w:ascii="黑体" w:hAnsi="黑体" w:eastAsia="黑体" w:cs="黑体"/>
          <w:lang w:eastAsia="zh-CN"/>
        </w:rPr>
        <w:t>集体</w:t>
      </w:r>
      <w:r>
        <w:rPr>
          <w:rFonts w:hint="eastAsia" w:ascii="黑体" w:hAnsi="黑体" w:eastAsia="黑体" w:cs="黑体"/>
        </w:rPr>
        <w:t>资产管理</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（一）加强资产台账管理</w:t>
      </w:r>
    </w:p>
    <w:p>
      <w:pPr>
        <w:spacing w:line="560" w:lineRule="exact"/>
        <w:ind w:firstLine="632" w:firstLineChars="200"/>
        <w:rPr>
          <w:rFonts w:ascii="仿宋_GB2312" w:cs="Times New Roman"/>
        </w:rPr>
      </w:pPr>
      <w:r>
        <w:rPr>
          <w:rFonts w:hint="eastAsia" w:ascii="仿宋_GB2312" w:hAnsi="仿宋_GB2312" w:cs="仿宋_GB2312"/>
        </w:rPr>
        <w:t>村级组织要建立详细的资产台账并实行动态管理，要定期开展清产核资工作，做到账实、账证、账账相符。资产台账登记须区分经营性资产、非经营性资产。</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（二）加强村级资产的承包、租赁和转让管理</w:t>
      </w:r>
    </w:p>
    <w:p>
      <w:pPr>
        <w:spacing w:line="560" w:lineRule="exact"/>
        <w:ind w:firstLine="632" w:firstLineChars="200"/>
        <w:rPr>
          <w:rFonts w:ascii="仿宋_GB2312" w:cs="Times New Roman"/>
        </w:rPr>
      </w:pPr>
      <w:r>
        <w:rPr>
          <w:rFonts w:ascii="仿宋_GB2312" w:hAnsi="仿宋_GB2312" w:cs="仿宋_GB2312"/>
          <w:b/>
          <w:bCs/>
        </w:rPr>
        <w:t>1.</w:t>
      </w:r>
      <w:r>
        <w:rPr>
          <w:rFonts w:hint="eastAsia" w:ascii="仿宋_GB2312" w:hAnsi="仿宋_GB2312" w:cs="仿宋_GB2312"/>
          <w:b/>
          <w:bCs/>
        </w:rPr>
        <w:t>规范经济合同的管理。</w:t>
      </w:r>
      <w:r>
        <w:rPr>
          <w:rFonts w:hint="eastAsia" w:ascii="仿宋_GB2312" w:hAnsi="仿宋_GB2312" w:cs="仿宋_GB2312"/>
        </w:rPr>
        <w:t>村级资产的承包、租赁和转让应当签订区级统一格式的文本合同，合同按序统一编号管理并建立合同台账。签订合同时，除双方认为必须的份数外，还须增加</w:t>
      </w:r>
      <w:r>
        <w:rPr>
          <w:rFonts w:ascii="仿宋_GB2312" w:hAnsi="仿宋_GB2312" w:cs="仿宋_GB2312"/>
        </w:rPr>
        <w:t>2</w:t>
      </w:r>
      <w:r>
        <w:rPr>
          <w:rFonts w:hint="eastAsia" w:ascii="仿宋_GB2312" w:hAnsi="仿宋_GB2312" w:cs="仿宋_GB2312"/>
        </w:rPr>
        <w:t>份正本，其中一份交村级财务代理记账中心会计人员入账并录入“三资”监管平台，另一份报</w:t>
      </w:r>
      <w:r>
        <w:rPr>
          <w:rFonts w:hint="eastAsia" w:ascii="仿宋_GB2312" w:hAnsi="仿宋_GB2312" w:cs="仿宋_GB2312"/>
          <w:lang w:eastAsia="zh-CN"/>
        </w:rPr>
        <w:t>镇集体资产监督管理委员会</w:t>
      </w:r>
      <w:r>
        <w:rPr>
          <w:rFonts w:hint="eastAsia" w:ascii="仿宋_GB2312" w:hAnsi="仿宋_GB2312" w:cs="仿宋_GB2312"/>
        </w:rPr>
        <w:t>备案。</w:t>
      </w:r>
    </w:p>
    <w:p>
      <w:pPr>
        <w:spacing w:line="560" w:lineRule="exact"/>
        <w:ind w:firstLine="632" w:firstLineChars="200"/>
        <w:rPr>
          <w:rFonts w:ascii="仿宋_GB2312" w:cs="Times New Roman"/>
        </w:rPr>
      </w:pPr>
      <w:r>
        <w:rPr>
          <w:rFonts w:ascii="仿宋_GB2312" w:hAnsi="仿宋_GB2312" w:cs="仿宋_GB2312"/>
          <w:b/>
          <w:bCs/>
        </w:rPr>
        <w:t>2.</w:t>
      </w:r>
      <w:r>
        <w:rPr>
          <w:rFonts w:hint="eastAsia" w:ascii="仿宋_GB2312" w:hAnsi="仿宋_GB2312" w:cs="仿宋_GB2312"/>
          <w:b/>
          <w:bCs/>
        </w:rPr>
        <w:t>规范大额村级资产的</w:t>
      </w:r>
      <w:r>
        <w:rPr>
          <w:rFonts w:hint="eastAsia" w:ascii="仿宋_GB2312" w:hAnsi="仿宋_GB2312" w:cs="仿宋_GB2312"/>
          <w:b/>
          <w:bCs/>
          <w:lang w:eastAsia="zh-CN"/>
        </w:rPr>
        <w:t>交易行为</w:t>
      </w:r>
      <w:r>
        <w:rPr>
          <w:rFonts w:hint="eastAsia" w:ascii="仿宋_GB2312" w:hAnsi="仿宋_GB2312" w:cs="仿宋_GB2312"/>
          <w:b/>
          <w:bCs/>
        </w:rPr>
        <w:t>。</w:t>
      </w:r>
      <w:r>
        <w:rPr>
          <w:rFonts w:hint="eastAsia" w:ascii="仿宋_GB2312" w:hAnsi="仿宋_GB2312" w:cs="仿宋_GB2312"/>
        </w:rPr>
        <w:t>村级资产的下列交易活动，须进入区公共资源交易中心公开进行：</w:t>
      </w:r>
    </w:p>
    <w:p>
      <w:pPr>
        <w:spacing w:line="560" w:lineRule="exact"/>
        <w:ind w:firstLine="632" w:firstLineChars="200"/>
        <w:rPr>
          <w:rFonts w:hint="eastAsia" w:ascii="仿宋_GB2312" w:eastAsia="仿宋_GB2312" w:cs="Times New Roman"/>
          <w:lang w:eastAsia="zh-CN"/>
        </w:rPr>
      </w:pP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）村级房屋、设备、电力设施及集体经济组织的集体用地的租赁，且租赁标的年租金达</w:t>
      </w:r>
      <w:r>
        <w:rPr>
          <w:rFonts w:ascii="仿宋_GB2312" w:hAnsi="仿宋_GB2312" w:cs="仿宋_GB2312"/>
        </w:rPr>
        <w:t>5</w:t>
      </w:r>
      <w:r>
        <w:rPr>
          <w:rFonts w:hint="eastAsia" w:ascii="仿宋_GB2312" w:hAnsi="仿宋_GB2312" w:cs="仿宋_GB2312"/>
        </w:rPr>
        <w:t>万元</w:t>
      </w:r>
      <w:r>
        <w:rPr>
          <w:rFonts w:ascii="仿宋_GB2312" w:hAnsi="仿宋_GB2312" w:cs="仿宋_GB2312"/>
        </w:rPr>
        <w:t>(</w:t>
      </w:r>
      <w:r>
        <w:rPr>
          <w:rFonts w:hint="eastAsia" w:ascii="仿宋_GB2312" w:hAnsi="仿宋_GB2312" w:cs="仿宋_GB2312"/>
        </w:rPr>
        <w:t>含</w:t>
      </w:r>
      <w:r>
        <w:rPr>
          <w:rFonts w:ascii="仿宋_GB2312" w:hAnsi="仿宋_GB2312" w:cs="仿宋_GB2312"/>
        </w:rPr>
        <w:t>5</w:t>
      </w:r>
      <w:r>
        <w:rPr>
          <w:rFonts w:hint="eastAsia" w:ascii="仿宋_GB2312" w:hAnsi="仿宋_GB2312" w:cs="仿宋_GB2312"/>
        </w:rPr>
        <w:t>万元，下同</w:t>
      </w:r>
      <w:r>
        <w:rPr>
          <w:rFonts w:ascii="仿宋_GB2312" w:hAnsi="仿宋_GB2312" w:cs="仿宋_GB2312"/>
        </w:rPr>
        <w:t>)</w:t>
      </w:r>
      <w:r>
        <w:rPr>
          <w:rFonts w:hint="eastAsia" w:ascii="仿宋_GB2312" w:hAnsi="仿宋_GB2312" w:cs="仿宋_GB2312"/>
        </w:rPr>
        <w:t>以上的</w:t>
      </w:r>
      <w:r>
        <w:rPr>
          <w:rFonts w:hint="eastAsia" w:ascii="仿宋_GB2312" w:hAnsi="仿宋_GB2312" w:cs="仿宋_GB2312"/>
          <w:lang w:eastAsia="zh-CN"/>
        </w:rPr>
        <w:t>。</w:t>
      </w:r>
    </w:p>
    <w:p>
      <w:pPr>
        <w:spacing w:line="560" w:lineRule="exact"/>
        <w:ind w:firstLine="632" w:firstLineChars="200"/>
        <w:rPr>
          <w:rFonts w:ascii="仿宋_GB2312" w:cs="Times New Roma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rPr>
        <w:t>对部分资金投入较大，符合崇明</w:t>
      </w:r>
      <w:r>
        <w:rPr>
          <w:rFonts w:hint="eastAsia" w:ascii="仿宋_GB2312" w:hAnsi="仿宋_GB2312" w:cs="仿宋_GB2312"/>
          <w:lang w:eastAsia="zh-CN"/>
        </w:rPr>
        <w:t>世界级</w:t>
      </w:r>
      <w:r>
        <w:rPr>
          <w:rFonts w:hint="eastAsia" w:ascii="仿宋_GB2312" w:hAnsi="仿宋_GB2312" w:cs="仿宋_GB2312"/>
        </w:rPr>
        <w:t>生态岛建设产业发展导向且经营正常的企业续租时，可根据实际，按照“三重一大”原则，经镇集体资产</w:t>
      </w:r>
      <w:r>
        <w:rPr>
          <w:rFonts w:hint="eastAsia" w:ascii="仿宋_GB2312" w:hAnsi="仿宋_GB2312" w:cs="仿宋_GB2312"/>
          <w:lang w:eastAsia="zh-CN"/>
        </w:rPr>
        <w:t>监督</w:t>
      </w:r>
      <w:r>
        <w:rPr>
          <w:rFonts w:hint="eastAsia" w:ascii="仿宋_GB2312" w:hAnsi="仿宋_GB2312" w:cs="仿宋_GB2312"/>
        </w:rPr>
        <w:t>管理委员会审核同意，由村民大会或村民代表会议（合作社成员大会或成员代表会议）讨论并表决通过后，采用协议等方式进行租赁，协议的结果须到区公共资源交易中心办理报备手续。</w:t>
      </w:r>
    </w:p>
    <w:p>
      <w:pPr>
        <w:spacing w:line="560" w:lineRule="exact"/>
        <w:ind w:firstLine="632" w:firstLineChars="200"/>
        <w:rPr>
          <w:rFonts w:hint="eastAsia" w:ascii="仿宋_GB2312" w:eastAsia="仿宋_GB2312" w:cs="Times New Roman"/>
          <w:lang w:eastAsia="zh-CN"/>
        </w:rPr>
      </w:pPr>
      <w:r>
        <w:rPr>
          <w:rFonts w:hint="eastAsia" w:ascii="仿宋_GB2312" w:hAnsi="仿宋_GB2312" w:cs="仿宋_GB2312"/>
        </w:rPr>
        <w:t>（</w:t>
      </w:r>
      <w:r>
        <w:rPr>
          <w:rFonts w:hint="eastAsia" w:ascii="仿宋_GB2312" w:hAnsi="仿宋_GB2312" w:cs="仿宋_GB2312"/>
          <w:lang w:val="en-US" w:eastAsia="zh-CN"/>
        </w:rPr>
        <w:t>3</w:t>
      </w:r>
      <w:r>
        <w:rPr>
          <w:rFonts w:hint="eastAsia" w:ascii="仿宋_GB2312" w:hAnsi="仿宋_GB2312" w:cs="仿宋_GB2312"/>
        </w:rPr>
        <w:t>）房屋、设备等所属产权为村级资产的转让，且转让标的达</w:t>
      </w:r>
      <w:r>
        <w:rPr>
          <w:rFonts w:ascii="仿宋_GB2312" w:hAnsi="仿宋_GB2312" w:cs="仿宋_GB2312"/>
        </w:rPr>
        <w:t>5</w:t>
      </w:r>
      <w:r>
        <w:rPr>
          <w:rFonts w:hint="eastAsia" w:ascii="仿宋_GB2312" w:hAnsi="仿宋_GB2312" w:cs="仿宋_GB2312"/>
        </w:rPr>
        <w:t>万元以上的</w:t>
      </w:r>
      <w:r>
        <w:rPr>
          <w:rFonts w:hint="eastAsia" w:ascii="仿宋_GB2312" w:hAnsi="仿宋_GB2312" w:cs="仿宋_GB2312"/>
          <w:lang w:eastAsia="zh-CN"/>
        </w:rPr>
        <w:t>。</w:t>
      </w:r>
    </w:p>
    <w:p>
      <w:pPr>
        <w:spacing w:line="560" w:lineRule="exact"/>
        <w:ind w:firstLine="632" w:firstLineChars="200"/>
        <w:rPr>
          <w:rFonts w:ascii="仿宋_GB2312" w:cs="Times New Roman"/>
        </w:rPr>
      </w:pPr>
      <w:r>
        <w:rPr>
          <w:rFonts w:hint="eastAsia" w:ascii="仿宋_GB2312" w:hAnsi="仿宋_GB2312" w:cs="仿宋_GB2312"/>
        </w:rPr>
        <w:t>（</w:t>
      </w:r>
      <w:r>
        <w:rPr>
          <w:rFonts w:hint="eastAsia" w:ascii="仿宋_GB2312" w:hAnsi="仿宋_GB2312" w:cs="仿宋_GB2312"/>
          <w:lang w:val="en-US" w:eastAsia="zh-CN"/>
        </w:rPr>
        <w:t>4</w:t>
      </w:r>
      <w:r>
        <w:rPr>
          <w:rFonts w:hint="eastAsia" w:ascii="仿宋_GB2312" w:hAnsi="仿宋_GB2312" w:cs="仿宋_GB2312"/>
        </w:rPr>
        <w:t>）其他依法必须进行公开招投标的村级资产处置项目。</w:t>
      </w:r>
    </w:p>
    <w:p>
      <w:pPr>
        <w:spacing w:line="560" w:lineRule="exact"/>
        <w:ind w:firstLine="632" w:firstLineChars="200"/>
        <w:rPr>
          <w:rFonts w:hint="eastAsia" w:ascii="楷体" w:hAnsi="楷体" w:eastAsia="楷体" w:cs="楷体"/>
          <w:b w:val="0"/>
          <w:bCs w:val="0"/>
        </w:rPr>
      </w:pPr>
      <w:r>
        <w:rPr>
          <w:rFonts w:hint="eastAsia" w:ascii="楷体" w:hAnsi="楷体" w:eastAsia="楷体" w:cs="楷体"/>
          <w:b w:val="0"/>
          <w:bCs w:val="0"/>
        </w:rPr>
        <w:t>（三）加强小额物资管理</w:t>
      </w:r>
    </w:p>
    <w:p>
      <w:pPr>
        <w:spacing w:line="560" w:lineRule="exact"/>
        <w:ind w:firstLine="632" w:firstLineChars="200"/>
        <w:rPr>
          <w:rFonts w:hint="eastAsia" w:ascii="仿宋_GB2312" w:hAnsi="仿宋_GB2312" w:cs="仿宋_GB2312"/>
        </w:rPr>
      </w:pPr>
      <w:r>
        <w:rPr>
          <w:rFonts w:hint="eastAsia" w:ascii="仿宋_GB2312" w:hAnsi="仿宋_GB2312" w:cs="仿宋_GB2312"/>
        </w:rPr>
        <w:t>由于宣传品、活动奖品等物资相对金额较小，不再单独设立</w:t>
      </w:r>
    </w:p>
    <w:p>
      <w:pPr>
        <w:spacing w:line="560" w:lineRule="exact"/>
        <w:rPr>
          <w:rFonts w:hint="eastAsia" w:ascii="仿宋_GB2312" w:hAnsi="仿宋_GB2312" w:cs="仿宋_GB2312"/>
        </w:rPr>
      </w:pPr>
      <w:r>
        <w:rPr>
          <w:rFonts w:hint="eastAsia" w:ascii="仿宋_GB2312" w:hAnsi="仿宋_GB2312" w:cs="仿宋_GB2312"/>
        </w:rPr>
        <w:t>“库存物资”会计科目。为加强实物管理，村级可设置小额物资备查账进行登记说明，详细记录物资的品名、购入数量、金额，领用数量、用途、领用人签名等信息</w:t>
      </w:r>
      <w:r>
        <w:rPr>
          <w:rFonts w:hint="eastAsia" w:ascii="仿宋_GB2312" w:hAnsi="仿宋_GB2312" w:cs="仿宋_GB2312"/>
          <w:lang w:eastAsia="zh-CN"/>
        </w:rPr>
        <w:t>。</w:t>
      </w:r>
      <w:r>
        <w:rPr>
          <w:rFonts w:hint="eastAsia" w:ascii="仿宋_GB2312" w:hAnsi="仿宋_GB2312" w:cs="仿宋_GB2312"/>
        </w:rPr>
        <w:t>备查账作为会计档案一并存档。</w:t>
      </w:r>
    </w:p>
    <w:p>
      <w:pPr>
        <w:spacing w:line="560" w:lineRule="exact"/>
        <w:ind w:firstLine="632" w:firstLineChars="200"/>
        <w:rPr>
          <w:rFonts w:hint="eastAsia" w:ascii="仿宋_GB2312" w:hAnsi="仿宋_GB2312" w:cs="仿宋_GB2312"/>
          <w:b w:val="0"/>
          <w:bCs w:val="0"/>
        </w:rPr>
      </w:pPr>
      <w:r>
        <w:rPr>
          <w:rFonts w:hint="eastAsia" w:ascii="楷体" w:hAnsi="楷体" w:eastAsia="楷体" w:cs="楷体"/>
          <w:b w:val="0"/>
          <w:bCs w:val="0"/>
          <w:lang w:eastAsia="zh-CN"/>
        </w:rPr>
        <w:t>（四）强化“三资”监管平台建设</w:t>
      </w:r>
    </w:p>
    <w:p>
      <w:pPr>
        <w:spacing w:line="560" w:lineRule="exact"/>
        <w:ind w:firstLine="632" w:firstLineChars="200"/>
        <w:rPr>
          <w:rFonts w:hint="eastAsia" w:ascii="仿宋_GB2312" w:hAnsi="仿宋_GB2312" w:cs="仿宋_GB2312"/>
          <w:highlight w:val="none"/>
          <w:lang w:eastAsia="zh-CN"/>
        </w:rPr>
      </w:pPr>
      <w:r>
        <w:rPr>
          <w:rFonts w:hint="eastAsia" w:ascii="仿宋_GB2312" w:hAnsi="仿宋_GB2312" w:cs="仿宋_GB2312"/>
          <w:highlight w:val="none"/>
          <w:lang w:eastAsia="zh-CN"/>
        </w:rPr>
        <w:t>加强“三资”监管平台管理，</w:t>
      </w:r>
      <w:r>
        <w:rPr>
          <w:rFonts w:hint="eastAsia" w:ascii="仿宋_GB2312" w:hAnsi="仿宋_GB2312" w:cs="仿宋_GB2312"/>
          <w:lang w:eastAsia="zh-CN"/>
        </w:rPr>
        <w:t>实时录入农村集体账务收支、固定资产台账、经济合同、农村集体耕地、建设用地等信息，确保农村集体“三资”数据信息及时更新，依托各村村务公开信息化平台和镇级信息平台予以公开。进一步</w:t>
      </w:r>
      <w:r>
        <w:rPr>
          <w:rFonts w:hint="eastAsia" w:ascii="仿宋_GB2312" w:hAnsi="仿宋_GB2312" w:cs="仿宋_GB2312"/>
          <w:highlight w:val="none"/>
          <w:lang w:eastAsia="zh-CN"/>
        </w:rPr>
        <w:t>完善农村集体经济组织账务处理流程，规范收支预决算、审核审批、对外投资、收益分配等行为。</w:t>
      </w:r>
    </w:p>
    <w:p>
      <w:pPr>
        <w:spacing w:line="560" w:lineRule="exact"/>
        <w:ind w:firstLine="632" w:firstLineChars="200"/>
        <w:rPr>
          <w:rFonts w:ascii="黑体" w:hAnsi="黑体" w:eastAsia="黑体" w:cs="Times New Roman"/>
        </w:rPr>
      </w:pPr>
      <w:r>
        <w:rPr>
          <w:rFonts w:hint="eastAsia" w:ascii="黑体" w:hAnsi="黑体" w:eastAsia="黑体" w:cs="黑体"/>
        </w:rPr>
        <w:t>三、规范村级城乡结对帮扶资金（资产）管理</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（一）入账方式</w:t>
      </w:r>
    </w:p>
    <w:p>
      <w:pPr>
        <w:spacing w:line="560" w:lineRule="exact"/>
        <w:ind w:firstLine="632" w:firstLineChars="200"/>
        <w:rPr>
          <w:rFonts w:ascii="仿宋_GB2312" w:cs="Times New Roman"/>
        </w:rPr>
      </w:pPr>
      <w:r>
        <w:rPr>
          <w:rFonts w:hint="eastAsia" w:ascii="仿宋_GB2312" w:hAnsi="仿宋_GB2312" w:cs="仿宋_GB2312"/>
        </w:rPr>
        <w:t>帮扶资金由村民委员会入账，必须专项核算</w:t>
      </w:r>
      <w:r>
        <w:rPr>
          <w:rFonts w:hint="eastAsia" w:ascii="仿宋_GB2312" w:hAnsi="仿宋_GB2312" w:cs="仿宋_GB2312"/>
          <w:lang w:eastAsia="zh-CN"/>
        </w:rPr>
        <w:t>，</w:t>
      </w:r>
      <w:r>
        <w:rPr>
          <w:rFonts w:hint="eastAsia" w:ascii="仿宋_GB2312" w:hAnsi="仿宋_GB2312" w:cs="仿宋_GB2312"/>
        </w:rPr>
        <w:t>形成资产的由经济合作社入账。</w:t>
      </w:r>
    </w:p>
    <w:p>
      <w:pPr>
        <w:numPr>
          <w:ilvl w:val="0"/>
          <w:numId w:val="0"/>
        </w:num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（二）</w:t>
      </w:r>
      <w:r>
        <w:rPr>
          <w:rFonts w:hint="eastAsia" w:ascii="楷体_GB2312" w:hAnsi="楷体_GB2312" w:eastAsia="楷体_GB2312" w:cs="楷体_GB2312"/>
          <w:b w:val="0"/>
          <w:bCs w:val="0"/>
        </w:rPr>
        <w:t>使用范围</w:t>
      </w:r>
    </w:p>
    <w:p>
      <w:pPr>
        <w:spacing w:line="560" w:lineRule="exact"/>
        <w:ind w:firstLine="632" w:firstLineChars="200"/>
        <w:rPr>
          <w:rFonts w:ascii="仿宋_GB2312" w:cs="Times New Roman"/>
        </w:rPr>
      </w:pPr>
      <w:r>
        <w:rPr>
          <w:rFonts w:hint="eastAsia" w:ascii="仿宋_GB2312" w:hAnsi="仿宋_GB2312" w:cs="仿宋_GB2312"/>
        </w:rPr>
        <w:t>帮扶资金按照协议已明确具体用途的，必须专款专用；未明确具体用途的，必须用于改善村民生活条件或帮扶生活困难党员及群众等村级公益事业。</w:t>
      </w:r>
    </w:p>
    <w:p>
      <w:pPr>
        <w:numPr>
          <w:ilvl w:val="0"/>
          <w:numId w:val="0"/>
        </w:num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（三）</w:t>
      </w:r>
      <w:r>
        <w:rPr>
          <w:rFonts w:hint="eastAsia" w:ascii="楷体_GB2312" w:hAnsi="楷体_GB2312" w:eastAsia="楷体_GB2312" w:cs="楷体_GB2312"/>
          <w:b w:val="0"/>
          <w:bCs w:val="0"/>
        </w:rPr>
        <w:t>使用程序</w:t>
      </w:r>
    </w:p>
    <w:p>
      <w:pPr>
        <w:spacing w:line="560" w:lineRule="exact"/>
        <w:ind w:firstLine="632" w:firstLineChars="200"/>
        <w:rPr>
          <w:rFonts w:ascii="仿宋_GB2312" w:cs="Times New Roman"/>
        </w:rPr>
      </w:pPr>
      <w:r>
        <w:rPr>
          <w:rFonts w:hint="eastAsia" w:ascii="仿宋_GB2312" w:hAnsi="仿宋_GB2312" w:cs="仿宋_GB2312"/>
        </w:rPr>
        <w:t>帮扶资金的使用，应当遵循“公开、公平、公正”的原则，必须由</w:t>
      </w:r>
      <w:r>
        <w:rPr>
          <w:rFonts w:hint="eastAsia" w:ascii="仿宋_GB2312" w:hAnsi="仿宋_GB2312" w:cs="仿宋_GB2312"/>
          <w:lang w:eastAsia="zh-CN"/>
        </w:rPr>
        <w:t>“</w:t>
      </w:r>
      <w:r>
        <w:rPr>
          <w:rFonts w:hint="eastAsia" w:ascii="仿宋_GB2312" w:hAnsi="仿宋_GB2312" w:cs="仿宋_GB2312"/>
        </w:rPr>
        <w:t>村</w:t>
      </w:r>
      <w:r>
        <w:rPr>
          <w:rFonts w:hint="eastAsia" w:ascii="仿宋_GB2312" w:hAnsi="仿宋_GB2312" w:cs="仿宋_GB2312"/>
          <w:lang w:eastAsia="zh-CN"/>
        </w:rPr>
        <w:t>两</w:t>
      </w:r>
      <w:r>
        <w:rPr>
          <w:rFonts w:hint="eastAsia" w:ascii="仿宋_GB2312" w:hAnsi="仿宋_GB2312" w:cs="仿宋_GB2312"/>
        </w:rPr>
        <w:t>委</w:t>
      </w:r>
      <w:r>
        <w:rPr>
          <w:rFonts w:hint="eastAsia" w:ascii="仿宋_GB2312" w:hAnsi="仿宋_GB2312" w:cs="仿宋_GB2312"/>
          <w:lang w:eastAsia="zh-CN"/>
        </w:rPr>
        <w:t>”班子</w:t>
      </w:r>
      <w:r>
        <w:rPr>
          <w:rFonts w:hint="eastAsia" w:ascii="仿宋_GB2312" w:hAnsi="仿宋_GB2312" w:cs="仿宋_GB2312"/>
        </w:rPr>
        <w:t>讨论研究决定，经村民大会或村民代表会议表决通过，结果须报镇</w:t>
      </w:r>
      <w:r>
        <w:rPr>
          <w:rFonts w:hint="eastAsia" w:ascii="仿宋_GB2312" w:hAnsi="仿宋_GB2312" w:cs="仿宋_GB2312"/>
          <w:lang w:eastAsia="zh-CN"/>
        </w:rPr>
        <w:t>经济发展服务</w:t>
      </w:r>
      <w:r>
        <w:rPr>
          <w:rFonts w:hint="eastAsia" w:ascii="仿宋_GB2312" w:hAnsi="仿宋_GB2312" w:cs="仿宋_GB2312"/>
        </w:rPr>
        <w:t>中心和出资方备案。</w:t>
      </w:r>
    </w:p>
    <w:p>
      <w:pPr>
        <w:numPr>
          <w:ilvl w:val="0"/>
          <w:numId w:val="0"/>
        </w:num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（四）</w:t>
      </w:r>
      <w:r>
        <w:rPr>
          <w:rFonts w:hint="eastAsia" w:ascii="楷体_GB2312" w:hAnsi="楷体_GB2312" w:eastAsia="楷体_GB2312" w:cs="楷体_GB2312"/>
          <w:b w:val="0"/>
          <w:bCs w:val="0"/>
        </w:rPr>
        <w:t>民主监督</w:t>
      </w:r>
    </w:p>
    <w:p>
      <w:pPr>
        <w:numPr>
          <w:ilvl w:val="0"/>
          <w:numId w:val="0"/>
        </w:numPr>
        <w:spacing w:line="560" w:lineRule="exact"/>
        <w:ind w:firstLine="632" w:firstLineChars="200"/>
        <w:rPr>
          <w:rFonts w:ascii="楷体_GB2312" w:eastAsia="楷体_GB2312" w:cs="Times New Roman"/>
          <w:b/>
          <w:bCs/>
          <w:sz w:val="30"/>
          <w:szCs w:val="30"/>
        </w:rPr>
      </w:pPr>
      <w:r>
        <w:rPr>
          <w:rFonts w:hint="eastAsia" w:ascii="仿宋_GB2312" w:hAnsi="仿宋_GB2312" w:cs="仿宋_GB2312"/>
        </w:rPr>
        <w:t>发挥村务监督委员会的监督作用，按照财务规章制度，积极履行理财职责，做到事前参与、事中监督、事后检查。发挥党员代表和群众代表的监督作用，定期在党员大会、村民大会或村民代表会议上通报资金的使用情况</w:t>
      </w:r>
      <w:r>
        <w:rPr>
          <w:rFonts w:hint="eastAsia" w:ascii="仿宋_GB2312" w:hAnsi="仿宋_GB2312" w:cs="仿宋_GB2312"/>
          <w:lang w:eastAsia="zh-CN"/>
        </w:rPr>
        <w:t>。</w:t>
      </w:r>
      <w:r>
        <w:rPr>
          <w:rFonts w:hint="eastAsia" w:ascii="仿宋_GB2312" w:hAnsi="仿宋_GB2312" w:cs="仿宋_GB2312"/>
        </w:rPr>
        <w:t>发挥财务公开栏的作用，将帮扶资金收支使用情况在公开栏上予以公示，接受群众的监督。</w:t>
      </w:r>
    </w:p>
    <w:p>
      <w:pPr>
        <w:spacing w:line="560" w:lineRule="exact"/>
        <w:ind w:firstLine="632" w:firstLineChars="200"/>
        <w:rPr>
          <w:rFonts w:ascii="黑体" w:hAnsi="黑体" w:eastAsia="黑体" w:cs="Times New Roman"/>
        </w:rPr>
      </w:pPr>
      <w:r>
        <w:rPr>
          <w:rFonts w:hint="eastAsia" w:ascii="黑体" w:hAnsi="黑体" w:eastAsia="黑体" w:cs="黑体"/>
        </w:rPr>
        <w:t>四、规范村级费用支出管理</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（一）规范村级组织工作人员差旅费支出</w:t>
      </w:r>
    </w:p>
    <w:p>
      <w:pPr>
        <w:spacing w:line="560" w:lineRule="exact"/>
        <w:ind w:firstLine="632" w:firstLineChars="200"/>
        <w:rPr>
          <w:rFonts w:hint="eastAsia" w:ascii="仿宋_GB2312" w:hAnsi="仿宋_GB2312" w:cs="仿宋_GB2312"/>
        </w:rPr>
      </w:pPr>
      <w:r>
        <w:rPr>
          <w:rFonts w:hint="eastAsia" w:ascii="仿宋_GB2312" w:hAnsi="仿宋_GB2312" w:cs="仿宋_GB2312"/>
        </w:rPr>
        <w:t>村级组织公务活动的</w:t>
      </w:r>
      <w:r>
        <w:rPr>
          <w:rFonts w:hint="eastAsia" w:ascii="仿宋_GB2312" w:hAnsi="仿宋_GB2312" w:cs="仿宋_GB2312"/>
          <w:lang w:eastAsia="zh-CN"/>
        </w:rPr>
        <w:t>市内及外省市差旅费</w:t>
      </w:r>
      <w:r>
        <w:rPr>
          <w:rFonts w:hint="eastAsia" w:ascii="仿宋_GB2312" w:hAnsi="仿宋_GB2312" w:cs="仿宋_GB2312"/>
        </w:rPr>
        <w:t>补贴可参照《关于</w:t>
      </w:r>
    </w:p>
    <w:p>
      <w:pPr>
        <w:spacing w:line="560" w:lineRule="exact"/>
        <w:rPr>
          <w:rFonts w:hint="eastAsia" w:ascii="仿宋_GB2312" w:hAnsi="仿宋_GB2312" w:cs="仿宋_GB2312"/>
          <w:lang w:eastAsia="zh-CN"/>
        </w:rPr>
      </w:pPr>
      <w:r>
        <w:rPr>
          <w:rFonts w:hint="eastAsia" w:ascii="仿宋_GB2312" w:hAnsi="仿宋_GB2312" w:cs="仿宋_GB2312"/>
          <w:lang w:eastAsia="zh-CN"/>
        </w:rPr>
        <w:t>规范本区</w:t>
      </w:r>
      <w:r>
        <w:rPr>
          <w:rFonts w:hint="eastAsia" w:ascii="仿宋_GB2312" w:hAnsi="仿宋_GB2312" w:cs="仿宋_GB2312"/>
        </w:rPr>
        <w:t>机关</w:t>
      </w:r>
      <w:r>
        <w:rPr>
          <w:rFonts w:hint="eastAsia" w:ascii="仿宋_GB2312" w:hAnsi="仿宋_GB2312" w:cs="仿宋_GB2312"/>
          <w:lang w:eastAsia="zh-CN"/>
        </w:rPr>
        <w:t>、事业单位</w:t>
      </w:r>
      <w:r>
        <w:rPr>
          <w:rFonts w:hint="eastAsia" w:ascii="仿宋_GB2312" w:hAnsi="仿宋_GB2312" w:cs="仿宋_GB2312"/>
        </w:rPr>
        <w:t>工作人员</w:t>
      </w:r>
      <w:r>
        <w:rPr>
          <w:rFonts w:hint="eastAsia" w:ascii="仿宋_GB2312" w:hAnsi="仿宋_GB2312" w:cs="仿宋_GB2312"/>
          <w:lang w:eastAsia="zh-CN"/>
        </w:rPr>
        <w:t>市内</w:t>
      </w:r>
      <w:r>
        <w:rPr>
          <w:rFonts w:hint="eastAsia" w:ascii="仿宋_GB2312" w:hAnsi="仿宋_GB2312" w:cs="仿宋_GB2312"/>
        </w:rPr>
        <w:t>公务活动差旅费</w:t>
      </w:r>
      <w:r>
        <w:rPr>
          <w:rFonts w:hint="eastAsia" w:ascii="仿宋_GB2312" w:hAnsi="仿宋_GB2312" w:cs="仿宋_GB2312"/>
          <w:lang w:eastAsia="zh-CN"/>
        </w:rPr>
        <w:t>管理的通</w:t>
      </w:r>
      <w:r>
        <w:rPr>
          <w:rFonts w:hint="eastAsia" w:ascii="仿宋_GB2312" w:hAnsi="仿宋_GB2312" w:cs="仿宋_GB2312"/>
        </w:rPr>
        <w:t>知</w:t>
      </w:r>
      <w:r>
        <w:rPr>
          <w:rFonts w:hint="eastAsia" w:ascii="仿宋_GB2312" w:hAnsi="仿宋_GB2312" w:cs="仿宋_GB2312"/>
          <w:lang w:eastAsia="zh-CN"/>
        </w:rPr>
        <w:t>》</w:t>
      </w:r>
      <w:r>
        <w:rPr>
          <w:rFonts w:ascii="仿宋_GB2312" w:hAnsi="仿宋_GB2312" w:cs="仿宋_GB2312"/>
        </w:rPr>
        <w:t>(</w:t>
      </w:r>
      <w:r>
        <w:rPr>
          <w:rFonts w:hint="eastAsia" w:ascii="仿宋_GB2312" w:hAnsi="仿宋_GB2312" w:cs="仿宋_GB2312"/>
        </w:rPr>
        <w:t>崇财行</w:t>
      </w:r>
      <w:r>
        <w:rPr>
          <w:rFonts w:hint="eastAsia" w:ascii="仿宋_GB2312" w:hAnsi="仿宋_GB2312" w:cs="仿宋_GB2312"/>
          <w:lang w:eastAsia="zh-CN"/>
        </w:rPr>
        <w:t>【</w:t>
      </w:r>
      <w:r>
        <w:rPr>
          <w:rFonts w:hint="eastAsia" w:ascii="仿宋_GB2312" w:hAnsi="仿宋_GB2312" w:cs="仿宋_GB2312"/>
          <w:lang w:val="en-US" w:eastAsia="zh-CN"/>
        </w:rPr>
        <w:t>2018】12</w:t>
      </w:r>
      <w:r>
        <w:rPr>
          <w:rFonts w:hint="eastAsia" w:ascii="仿宋_GB2312" w:hAnsi="仿宋_GB2312" w:cs="仿宋_GB2312"/>
        </w:rPr>
        <w:t>号</w:t>
      </w:r>
      <w:r>
        <w:rPr>
          <w:rFonts w:ascii="仿宋_GB2312" w:hAnsi="仿宋_GB2312" w:cs="仿宋_GB2312"/>
        </w:rPr>
        <w:t>)</w:t>
      </w:r>
      <w:r>
        <w:rPr>
          <w:rFonts w:hint="eastAsia" w:ascii="仿宋_GB2312" w:hAnsi="仿宋_GB2312" w:cs="仿宋_GB2312"/>
        </w:rPr>
        <w:t>文件</w:t>
      </w:r>
      <w:r>
        <w:rPr>
          <w:rFonts w:hint="eastAsia" w:ascii="仿宋_GB2312" w:hAnsi="仿宋_GB2312" w:cs="仿宋_GB2312"/>
          <w:lang w:eastAsia="zh-CN"/>
        </w:rPr>
        <w:t>执行。</w:t>
      </w:r>
    </w:p>
    <w:p>
      <w:p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rPr>
        <w:t>（二）规范村级用餐费用支出</w:t>
      </w:r>
    </w:p>
    <w:p>
      <w:pPr>
        <w:numPr>
          <w:ilvl w:val="0"/>
          <w:numId w:val="0"/>
        </w:numPr>
        <w:spacing w:line="560" w:lineRule="exact"/>
        <w:ind w:firstLine="632" w:firstLineChars="200"/>
        <w:rPr>
          <w:rFonts w:hint="eastAsia" w:ascii="仿宋_GB2312" w:hAnsi="仿宋_GB2312" w:cs="仿宋_GB2312"/>
        </w:rPr>
      </w:pPr>
      <w:r>
        <w:rPr>
          <w:rFonts w:hint="eastAsia" w:ascii="仿宋_GB2312" w:hAnsi="仿宋_GB2312" w:cs="仿宋_GB2312"/>
        </w:rPr>
        <w:t>为进一步加强农村基层党风廉政建设，减轻基层负担，村级实行“零招待”制度。对因工作需要确需在村里进行公务接待的，由镇</w:t>
      </w:r>
      <w:r>
        <w:rPr>
          <w:rFonts w:hint="eastAsia" w:ascii="仿宋_GB2312" w:hAnsi="仿宋_GB2312" w:cs="仿宋_GB2312"/>
          <w:lang w:eastAsia="zh-CN"/>
        </w:rPr>
        <w:t>政府</w:t>
      </w:r>
      <w:r>
        <w:rPr>
          <w:rFonts w:hint="eastAsia" w:ascii="仿宋_GB2312" w:hAnsi="仿宋_GB2312" w:cs="仿宋_GB2312"/>
        </w:rPr>
        <w:t>统一安排</w:t>
      </w:r>
      <w:r>
        <w:rPr>
          <w:rFonts w:hint="eastAsia" w:ascii="仿宋_GB2312" w:hAnsi="仿宋_GB2312" w:cs="仿宋_GB2312"/>
          <w:lang w:eastAsia="zh-CN"/>
        </w:rPr>
        <w:t>。</w:t>
      </w:r>
      <w:r>
        <w:rPr>
          <w:rFonts w:hint="eastAsia" w:ascii="仿宋_GB2312" w:hAnsi="仿宋_GB2312" w:cs="仿宋_GB2312"/>
        </w:rPr>
        <w:t>对由于工作原因（如因完成突击性、应急性工作加班等情况）发生小额的、必须的、合理的用餐费用，可</w:t>
      </w:r>
      <w:r>
        <w:rPr>
          <w:rFonts w:hint="eastAsia" w:ascii="仿宋_GB2312" w:hAnsi="仿宋_GB2312" w:cs="仿宋_GB2312"/>
          <w:lang w:eastAsia="zh-CN"/>
        </w:rPr>
        <w:t>按照从紧原则</w:t>
      </w:r>
      <w:r>
        <w:rPr>
          <w:rFonts w:hint="eastAsia" w:ascii="仿宋_GB2312" w:hAnsi="仿宋_GB2312" w:cs="仿宋_GB2312"/>
        </w:rPr>
        <w:t>根据工作的具体事项确定对应的列支渠道，结算时须附有正规税务发票、注明用餐时间、事由、用餐人员名单等凭证。</w:t>
      </w:r>
    </w:p>
    <w:p>
      <w:pPr>
        <w:numPr>
          <w:ilvl w:val="0"/>
          <w:numId w:val="0"/>
        </w:numPr>
        <w:spacing w:line="560" w:lineRule="exact"/>
        <w:ind w:firstLine="632" w:firstLineChars="200"/>
        <w:rPr>
          <w:rFonts w:ascii="楷体_GB2312" w:hAnsi="楷体_GB2312" w:eastAsia="楷体_GB2312" w:cs="Times New Roman"/>
          <w:b w:val="0"/>
          <w:bCs w:val="0"/>
        </w:rPr>
      </w:pPr>
      <w:r>
        <w:rPr>
          <w:rFonts w:hint="eastAsia" w:ascii="楷体_GB2312" w:hAnsi="楷体_GB2312" w:eastAsia="楷体_GB2312" w:cs="楷体_GB2312"/>
          <w:b w:val="0"/>
          <w:bCs w:val="0"/>
          <w:lang w:eastAsia="zh-CN"/>
        </w:rPr>
        <w:t>（三）</w:t>
      </w:r>
      <w:r>
        <w:rPr>
          <w:rFonts w:hint="eastAsia" w:ascii="楷体_GB2312" w:hAnsi="楷体_GB2312" w:eastAsia="楷体_GB2312" w:cs="楷体_GB2312"/>
          <w:b w:val="0"/>
          <w:bCs w:val="0"/>
        </w:rPr>
        <w:t>规范村级活动费用支出</w:t>
      </w:r>
    </w:p>
    <w:p>
      <w:pPr>
        <w:spacing w:line="560" w:lineRule="exact"/>
        <w:ind w:firstLine="632" w:firstLineChars="200"/>
        <w:rPr>
          <w:rFonts w:ascii="仿宋_GB2312" w:cs="Times New Roman"/>
        </w:rPr>
      </w:pPr>
      <w:r>
        <w:rPr>
          <w:rFonts w:hint="eastAsia" w:ascii="仿宋_GB2312" w:hAnsi="仿宋_GB2312" w:cs="仿宋_GB2312"/>
        </w:rPr>
        <w:t>凡涉及舞蹈比赛、运动会、假日学校等单项活动总支出超过</w:t>
      </w:r>
      <w:r>
        <w:rPr>
          <w:rFonts w:ascii="仿宋_GB2312" w:hAnsi="仿宋_GB2312" w:cs="仿宋_GB2312"/>
        </w:rPr>
        <w:t>1000</w:t>
      </w:r>
      <w:r>
        <w:rPr>
          <w:rFonts w:hint="eastAsia" w:ascii="仿宋_GB2312" w:hAnsi="仿宋_GB2312" w:cs="仿宋_GB2312"/>
        </w:rPr>
        <w:t>元以上（含</w:t>
      </w:r>
      <w:r>
        <w:rPr>
          <w:rFonts w:ascii="仿宋_GB2312" w:hAnsi="仿宋_GB2312" w:cs="仿宋_GB2312"/>
        </w:rPr>
        <w:t>1000</w:t>
      </w:r>
      <w:r>
        <w:rPr>
          <w:rFonts w:hint="eastAsia" w:ascii="仿宋_GB2312" w:hAnsi="仿宋_GB2312" w:cs="仿宋_GB2312"/>
        </w:rPr>
        <w:t>元），须附有详细的活动方案，注明组织单位、活动时间、活动内容、活动对象名单和经费预算（如开展活动需购买的物品预算、参加活动人员的补贴等）</w:t>
      </w:r>
      <w:r>
        <w:rPr>
          <w:rFonts w:hint="eastAsia" w:ascii="仿宋_GB2312" w:hAnsi="仿宋_GB2312" w:cs="仿宋_GB2312"/>
          <w:lang w:eastAsia="zh-CN"/>
        </w:rPr>
        <w:t>。</w:t>
      </w:r>
      <w:r>
        <w:rPr>
          <w:rFonts w:hint="eastAsia" w:ascii="仿宋_GB2312" w:hAnsi="仿宋_GB2312" w:cs="仿宋_GB2312"/>
        </w:rPr>
        <w:t>若涉及发放参加人员补贴、活动培训老师劳务报酬等事项，不论金额</w:t>
      </w:r>
      <w:r>
        <w:rPr>
          <w:rFonts w:hint="eastAsia" w:ascii="仿宋_GB2312" w:hAnsi="仿宋_GB2312" w:cs="仿宋_GB2312"/>
          <w:lang w:eastAsia="zh-CN"/>
        </w:rPr>
        <w:t>大小</w:t>
      </w:r>
      <w:r>
        <w:rPr>
          <w:rFonts w:hint="eastAsia" w:ascii="仿宋_GB2312" w:hAnsi="仿宋_GB2312" w:cs="仿宋_GB2312"/>
        </w:rPr>
        <w:t>都须提供活动方案</w:t>
      </w:r>
      <w:r>
        <w:rPr>
          <w:rFonts w:hint="eastAsia" w:ascii="仿宋_GB2312" w:hAnsi="仿宋_GB2312" w:cs="仿宋_GB2312"/>
          <w:lang w:eastAsia="zh-CN"/>
        </w:rPr>
        <w:t>。</w:t>
      </w:r>
      <w:r>
        <w:rPr>
          <w:rFonts w:hint="eastAsia" w:ascii="仿宋_GB2312" w:hAnsi="仿宋_GB2312" w:cs="仿宋_GB2312"/>
        </w:rPr>
        <w:t>涉及购买活动服装、发放活动奖品等事项，不论金额</w:t>
      </w:r>
      <w:r>
        <w:rPr>
          <w:rFonts w:hint="eastAsia" w:ascii="仿宋_GB2312" w:hAnsi="仿宋_GB2312" w:cs="仿宋_GB2312"/>
          <w:lang w:eastAsia="zh-CN"/>
        </w:rPr>
        <w:t>大小</w:t>
      </w:r>
      <w:r>
        <w:rPr>
          <w:rFonts w:hint="eastAsia" w:ascii="仿宋_GB2312" w:hAnsi="仿宋_GB2312" w:cs="仿宋_GB2312"/>
        </w:rPr>
        <w:t>都须提供活动对象名单。</w:t>
      </w:r>
    </w:p>
    <w:p>
      <w:pPr>
        <w:spacing w:line="560" w:lineRule="exact"/>
        <w:ind w:firstLine="632" w:firstLineChars="200"/>
        <w:rPr>
          <w:rFonts w:ascii="黑体" w:hAnsi="黑体" w:eastAsia="黑体" w:cs="Times New Roman"/>
        </w:rPr>
      </w:pPr>
      <w:r>
        <w:rPr>
          <w:rFonts w:hint="eastAsia" w:ascii="黑体" w:hAnsi="黑体" w:eastAsia="黑体" w:cs="黑体"/>
        </w:rPr>
        <w:t>五、规范村级组织劳务用工管理</w:t>
      </w:r>
    </w:p>
    <w:p>
      <w:pPr>
        <w:spacing w:line="560" w:lineRule="exact"/>
        <w:ind w:firstLine="632" w:firstLineChars="200"/>
        <w:rPr>
          <w:rFonts w:ascii="楷体_GB2312" w:hAnsi="楷体_GB2312" w:eastAsia="楷体_GB2312" w:cs="Times New Roman"/>
        </w:rPr>
      </w:pPr>
      <w:r>
        <w:rPr>
          <w:rFonts w:hint="eastAsia" w:ascii="楷体_GB2312" w:hAnsi="楷体_GB2312" w:eastAsia="楷体_GB2312" w:cs="楷体_GB2312"/>
        </w:rPr>
        <w:t>（一）</w:t>
      </w:r>
      <w:r>
        <w:rPr>
          <w:rFonts w:hint="eastAsia" w:ascii="楷体_GB2312" w:hAnsi="楷体_GB2312" w:eastAsia="楷体_GB2312" w:cs="楷体_GB2312"/>
          <w:lang w:eastAsia="zh-CN"/>
        </w:rPr>
        <w:t>明确</w:t>
      </w:r>
      <w:r>
        <w:rPr>
          <w:rFonts w:hint="eastAsia" w:ascii="楷体_GB2312" w:hAnsi="楷体_GB2312" w:eastAsia="楷体_GB2312" w:cs="楷体_GB2312"/>
        </w:rPr>
        <w:t>劳务用工指导价格</w:t>
      </w:r>
    </w:p>
    <w:p>
      <w:pPr>
        <w:spacing w:line="560" w:lineRule="exact"/>
        <w:ind w:firstLine="632" w:firstLineChars="200"/>
        <w:rPr>
          <w:rFonts w:ascii="仿宋_GB2312" w:cs="Times New Roman"/>
        </w:rPr>
      </w:pPr>
      <w:r>
        <w:rPr>
          <w:rFonts w:hint="eastAsia" w:ascii="仿宋_GB2312" w:hAnsi="仿宋_GB2312" w:cs="仿宋_GB2312"/>
        </w:rPr>
        <w:t>各</w:t>
      </w:r>
      <w:r>
        <w:rPr>
          <w:rFonts w:hint="eastAsia" w:ascii="仿宋_GB2312" w:hAnsi="仿宋_GB2312" w:cs="仿宋_GB2312"/>
          <w:lang w:eastAsia="zh-CN"/>
        </w:rPr>
        <w:t>村</w:t>
      </w:r>
      <w:r>
        <w:rPr>
          <w:rFonts w:hint="eastAsia" w:ascii="仿宋_GB2312" w:hAnsi="仿宋_GB2312" w:cs="仿宋_GB2312"/>
        </w:rPr>
        <w:t>要根据本</w:t>
      </w:r>
      <w:r>
        <w:rPr>
          <w:rFonts w:hint="eastAsia" w:ascii="仿宋_GB2312" w:hAnsi="仿宋_GB2312" w:cs="仿宋_GB2312"/>
          <w:lang w:eastAsia="zh-CN"/>
        </w:rPr>
        <w:t>村</w:t>
      </w:r>
      <w:r>
        <w:rPr>
          <w:rFonts w:hint="eastAsia" w:ascii="仿宋_GB2312" w:hAnsi="仿宋_GB2312" w:cs="仿宋_GB2312"/>
        </w:rPr>
        <w:t>实际情况，</w:t>
      </w:r>
      <w:r>
        <w:rPr>
          <w:rFonts w:hint="eastAsia" w:ascii="仿宋_GB2312" w:hAnsi="仿宋_GB2312" w:cs="仿宋_GB2312"/>
          <w:lang w:eastAsia="zh-CN"/>
        </w:rPr>
        <w:t>每年</w:t>
      </w:r>
      <w:r>
        <w:rPr>
          <w:rFonts w:hint="eastAsia" w:ascii="仿宋_GB2312" w:hAnsi="仿宋_GB2312" w:cs="仿宋_GB2312"/>
        </w:rPr>
        <w:t>年初制定当年详细的劳务用工价格标准，并由村民大会或村民代表会议（成员大会或成员代表会议）表决通过，报镇经</w:t>
      </w:r>
      <w:r>
        <w:rPr>
          <w:rFonts w:hint="eastAsia" w:ascii="仿宋_GB2312" w:hAnsi="仿宋_GB2312" w:cs="仿宋_GB2312"/>
          <w:lang w:eastAsia="zh-CN"/>
        </w:rPr>
        <w:t>济发展服务</w:t>
      </w:r>
      <w:r>
        <w:rPr>
          <w:rFonts w:hint="eastAsia" w:ascii="仿宋_GB2312" w:hAnsi="仿宋_GB2312" w:cs="仿宋_GB2312"/>
        </w:rPr>
        <w:t>中心备案</w:t>
      </w:r>
      <w:r>
        <w:rPr>
          <w:rFonts w:hint="eastAsia" w:ascii="仿宋_GB2312" w:hAnsi="仿宋_GB2312" w:cs="仿宋_GB2312"/>
          <w:lang w:eastAsia="zh-CN"/>
        </w:rPr>
        <w:t>。</w:t>
      </w:r>
      <w:r>
        <w:rPr>
          <w:rFonts w:hint="eastAsia" w:ascii="仿宋_GB2312" w:hAnsi="仿宋_GB2312" w:cs="仿宋_GB2312"/>
        </w:rPr>
        <w:t>价格标准如有调整，须经村民大会或村民代表会议（成员大会或成员代表会议）再次表决通过，并报镇经</w:t>
      </w:r>
      <w:r>
        <w:rPr>
          <w:rFonts w:hint="eastAsia" w:ascii="仿宋_GB2312" w:hAnsi="仿宋_GB2312" w:cs="仿宋_GB2312"/>
          <w:lang w:eastAsia="zh-CN"/>
        </w:rPr>
        <w:t>济发展服务</w:t>
      </w:r>
      <w:r>
        <w:rPr>
          <w:rFonts w:hint="eastAsia" w:ascii="仿宋_GB2312" w:hAnsi="仿宋_GB2312" w:cs="仿宋_GB2312"/>
        </w:rPr>
        <w:t>中心重新备案。</w:t>
      </w:r>
    </w:p>
    <w:p>
      <w:pPr>
        <w:numPr>
          <w:ilvl w:val="0"/>
          <w:numId w:val="1"/>
        </w:numPr>
        <w:spacing w:line="560" w:lineRule="exact"/>
        <w:ind w:firstLine="632" w:firstLineChars="200"/>
        <w:rPr>
          <w:rFonts w:ascii="楷体_GB2312" w:hAnsi="楷体_GB2312" w:eastAsia="楷体_GB2312" w:cs="Times New Roman"/>
        </w:rPr>
      </w:pPr>
      <w:r>
        <w:rPr>
          <w:rFonts w:hint="eastAsia" w:ascii="楷体_GB2312" w:hAnsi="楷体_GB2312" w:eastAsia="楷体_GB2312" w:cs="楷体_GB2312"/>
        </w:rPr>
        <w:t>完善劳务用工公开制度</w:t>
      </w:r>
    </w:p>
    <w:p>
      <w:pPr>
        <w:spacing w:line="560" w:lineRule="exact"/>
        <w:ind w:firstLine="632" w:firstLineChars="200"/>
        <w:rPr>
          <w:rFonts w:ascii="仿宋_GB2312" w:cs="Times New Roman"/>
        </w:rPr>
      </w:pPr>
      <w:r>
        <w:rPr>
          <w:rFonts w:hint="eastAsia" w:ascii="仿宋_GB2312" w:hAnsi="仿宋_GB2312" w:cs="仿宋_GB2312"/>
        </w:rPr>
        <w:t>村级组织劳务用工支出</w:t>
      </w:r>
      <w:r>
        <w:rPr>
          <w:rFonts w:hint="eastAsia" w:ascii="仿宋_GB2312" w:hAnsi="仿宋_GB2312" w:cs="仿宋_GB2312"/>
          <w:lang w:eastAsia="zh-CN"/>
        </w:rPr>
        <w:t>须</w:t>
      </w:r>
      <w:r>
        <w:rPr>
          <w:rFonts w:hint="eastAsia" w:ascii="仿宋_GB2312" w:hAnsi="仿宋_GB2312" w:cs="仿宋_GB2312"/>
        </w:rPr>
        <w:t>按月结报，当月劳务用工登记表于次月公示，公示时间不少于</w:t>
      </w:r>
      <w:r>
        <w:rPr>
          <w:rFonts w:ascii="仿宋_GB2312" w:hAnsi="仿宋_GB2312" w:cs="仿宋_GB2312"/>
        </w:rPr>
        <w:t>5</w:t>
      </w:r>
      <w:r>
        <w:rPr>
          <w:rFonts w:hint="eastAsia" w:ascii="仿宋_GB2312" w:hAnsi="仿宋_GB2312" w:cs="仿宋_GB2312"/>
        </w:rPr>
        <w:t>个工作日。劳务用工登记表须</w:t>
      </w:r>
      <w:r>
        <w:rPr>
          <w:rFonts w:hint="eastAsia" w:ascii="仿宋_GB2312" w:hAnsi="仿宋_GB2312" w:cs="仿宋_GB2312"/>
          <w:lang w:eastAsia="zh-CN"/>
        </w:rPr>
        <w:t>复印件加盖村级组织公章后公示并交由村级组织归档，</w:t>
      </w:r>
      <w:r>
        <w:rPr>
          <w:rFonts w:hint="eastAsia" w:ascii="仿宋_GB2312" w:hAnsi="仿宋_GB2312" w:cs="仿宋_GB2312"/>
        </w:rPr>
        <w:t>原件</w:t>
      </w:r>
      <w:r>
        <w:rPr>
          <w:rFonts w:hint="eastAsia" w:ascii="仿宋_GB2312" w:hAnsi="仿宋_GB2312" w:cs="仿宋_GB2312"/>
          <w:lang w:eastAsia="zh-CN"/>
        </w:rPr>
        <w:t>将由村级财务代理记账中心会计人员入账归档。</w:t>
      </w:r>
    </w:p>
    <w:p>
      <w:pPr>
        <w:numPr>
          <w:ilvl w:val="0"/>
          <w:numId w:val="1"/>
        </w:numPr>
        <w:spacing w:line="560" w:lineRule="exact"/>
        <w:ind w:firstLine="632" w:firstLineChars="200"/>
        <w:rPr>
          <w:rFonts w:ascii="楷体_GB2312" w:hAnsi="楷体_GB2312" w:eastAsia="楷体_GB2312" w:cs="Times New Roman"/>
        </w:rPr>
      </w:pPr>
      <w:r>
        <w:rPr>
          <w:rFonts w:hint="eastAsia" w:ascii="楷体_GB2312" w:hAnsi="楷体_GB2312" w:eastAsia="楷体_GB2312" w:cs="楷体_GB2312"/>
        </w:rPr>
        <w:t>加强劳务用工登记管理</w:t>
      </w:r>
    </w:p>
    <w:p>
      <w:pPr>
        <w:spacing w:line="560" w:lineRule="exact"/>
        <w:ind w:firstLine="632" w:firstLineChars="200"/>
        <w:rPr>
          <w:rFonts w:ascii="仿宋_GB2312" w:cs="Times New Roman"/>
        </w:rPr>
      </w:pPr>
      <w:r>
        <w:rPr>
          <w:rFonts w:hint="eastAsia" w:ascii="仿宋_GB2312" w:hAnsi="仿宋_GB2312" w:cs="仿宋_GB2312"/>
        </w:rPr>
        <w:t>劳务用工登记须指定一名登记人员，登记人员由村务监督委员会成员或监事会成员担任，不得由</w:t>
      </w:r>
      <w:r>
        <w:rPr>
          <w:rFonts w:hint="eastAsia" w:ascii="仿宋_GB2312" w:hAnsi="仿宋_GB2312" w:cs="仿宋_GB2312"/>
          <w:lang w:eastAsia="zh-CN"/>
        </w:rPr>
        <w:t>“村两委”班子成员、</w:t>
      </w:r>
      <w:r>
        <w:rPr>
          <w:rFonts w:hint="eastAsia" w:ascii="仿宋_GB2312" w:hAnsi="仿宋_GB2312" w:cs="仿宋_GB2312"/>
        </w:rPr>
        <w:t>提供劳务人员担任。登记人员完成劳务用工信息登记并签字，交分管村干部审核签字，再提交村务监督委员会（合作社监事会）审核签章后公示。</w:t>
      </w:r>
    </w:p>
    <w:p>
      <w:pPr>
        <w:numPr>
          <w:ilvl w:val="0"/>
          <w:numId w:val="1"/>
        </w:numPr>
        <w:spacing w:line="560" w:lineRule="exact"/>
        <w:ind w:firstLine="632" w:firstLineChars="200"/>
        <w:rPr>
          <w:rFonts w:ascii="楷体_GB2312" w:hAnsi="楷体_GB2312" w:eastAsia="楷体_GB2312" w:cs="Times New Roman"/>
        </w:rPr>
      </w:pPr>
      <w:r>
        <w:rPr>
          <w:rFonts w:hint="eastAsia" w:ascii="楷体_GB2312" w:hAnsi="楷体_GB2312" w:eastAsia="楷体_GB2312" w:cs="楷体_GB2312"/>
        </w:rPr>
        <w:t>加强劳务用工发放管理</w:t>
      </w:r>
    </w:p>
    <w:p>
      <w:pPr>
        <w:spacing w:line="560" w:lineRule="exact"/>
        <w:ind w:firstLine="632" w:firstLineChars="200"/>
        <w:rPr>
          <w:rFonts w:ascii="仿宋_GB2312" w:cs="Times New Roman"/>
        </w:rPr>
      </w:pPr>
      <w:r>
        <w:rPr>
          <w:rFonts w:hint="eastAsia" w:ascii="仿宋_GB2312" w:hAnsi="仿宋_GB2312" w:cs="仿宋_GB2312"/>
        </w:rPr>
        <w:t>村级结报员根据公示后的劳务用工情况登记表制作发款清单，</w:t>
      </w:r>
      <w:r>
        <w:rPr>
          <w:rFonts w:hint="eastAsia" w:ascii="仿宋_GB2312" w:hAnsi="仿宋_GB2312" w:cs="仿宋_GB2312"/>
          <w:lang w:eastAsia="zh-CN"/>
        </w:rPr>
        <w:t>经</w:t>
      </w:r>
      <w:r>
        <w:rPr>
          <w:rFonts w:hint="eastAsia" w:ascii="仿宋_GB2312" w:hAnsi="仿宋_GB2312" w:cs="仿宋_GB2312"/>
        </w:rPr>
        <w:t>村负责人审核签字后（若费用金额较大，则按财务审批制度执行）</w:t>
      </w:r>
      <w:r>
        <w:rPr>
          <w:rFonts w:hint="eastAsia" w:ascii="仿宋_GB2312" w:hAnsi="仿宋_GB2312" w:cs="仿宋_GB2312"/>
          <w:lang w:eastAsia="zh-CN"/>
        </w:rPr>
        <w:t>，</w:t>
      </w:r>
      <w:r>
        <w:rPr>
          <w:rFonts w:hint="eastAsia" w:ascii="仿宋_GB2312" w:hAnsi="仿宋_GB2312" w:cs="仿宋_GB2312"/>
        </w:rPr>
        <w:t>交由村级财务代理记账中心会计人员复核签字并转账发款。会计人员应根据劳务登记表内“工作内容”一栏的记录事项，相应填写费用列支渠道。</w:t>
      </w:r>
    </w:p>
    <w:p>
      <w:pPr>
        <w:numPr>
          <w:ilvl w:val="0"/>
          <w:numId w:val="1"/>
        </w:numPr>
        <w:spacing w:line="560" w:lineRule="exact"/>
        <w:ind w:firstLine="632" w:firstLineChars="200"/>
        <w:rPr>
          <w:rFonts w:ascii="楷体_GB2312" w:hAnsi="楷体_GB2312" w:eastAsia="楷体_GB2312" w:cs="Times New Roman"/>
        </w:rPr>
      </w:pPr>
      <w:r>
        <w:rPr>
          <w:rFonts w:hint="eastAsia" w:ascii="楷体_GB2312" w:hAnsi="楷体_GB2312" w:eastAsia="楷体_GB2312" w:cs="楷体_GB2312"/>
        </w:rPr>
        <w:t>规范劳务用工支出凭证管理</w:t>
      </w:r>
    </w:p>
    <w:p>
      <w:pPr>
        <w:spacing w:line="560" w:lineRule="exact"/>
        <w:ind w:firstLine="632" w:firstLineChars="200"/>
        <w:rPr>
          <w:rFonts w:ascii="仿宋_GB2312" w:cs="Times New Roman"/>
        </w:rPr>
      </w:pPr>
      <w:r>
        <w:rPr>
          <w:rFonts w:hint="eastAsia" w:ascii="仿宋_GB2312" w:hAnsi="仿宋_GB2312" w:cs="仿宋_GB2312"/>
        </w:rPr>
        <w:t>小额、零星的劳务支出，须使用劳务用工登记表进行登记，费用根据具体事项对应列支渠道。凡个人提供劳务单次结算超过</w:t>
      </w:r>
      <w:r>
        <w:rPr>
          <w:rFonts w:ascii="仿宋_GB2312" w:hAnsi="仿宋_GB2312" w:cs="仿宋_GB2312"/>
        </w:rPr>
        <w:t>3000</w:t>
      </w:r>
      <w:r>
        <w:rPr>
          <w:rFonts w:hint="eastAsia" w:ascii="仿宋_GB2312" w:hAnsi="仿宋_GB2312" w:cs="仿宋_GB2312"/>
        </w:rPr>
        <w:t>元以上（含</w:t>
      </w:r>
      <w:r>
        <w:rPr>
          <w:rFonts w:ascii="仿宋_GB2312" w:hAnsi="仿宋_GB2312" w:cs="仿宋_GB2312"/>
        </w:rPr>
        <w:t>3000</w:t>
      </w:r>
      <w:r>
        <w:rPr>
          <w:rFonts w:hint="eastAsia" w:ascii="仿宋_GB2312" w:hAnsi="仿宋_GB2312" w:cs="仿宋_GB2312"/>
        </w:rPr>
        <w:t>元）的大额劳务支出（如机械劳务费等），结算时须附有税务机关开具的正规发票及劳务用工登记表或工程协议</w:t>
      </w:r>
      <w:r>
        <w:rPr>
          <w:rFonts w:hint="eastAsia" w:ascii="仿宋_GB2312" w:hAnsi="仿宋_GB2312" w:cs="仿宋_GB2312"/>
          <w:lang w:eastAsia="zh-CN"/>
        </w:rPr>
        <w:t>，涉及常态化用工，须签订劳务协议或工程协议，以工资或工程项目形式支出。</w:t>
      </w:r>
      <w:r>
        <w:rPr>
          <w:rFonts w:hint="eastAsia" w:ascii="仿宋_GB2312" w:hAnsi="仿宋_GB2312" w:cs="仿宋_GB2312"/>
        </w:rPr>
        <w:t>若提供劳务方为个体工商户、企业，不论金额</w:t>
      </w:r>
      <w:r>
        <w:rPr>
          <w:rFonts w:hint="eastAsia" w:ascii="仿宋_GB2312" w:hAnsi="仿宋_GB2312" w:cs="仿宋_GB2312"/>
          <w:lang w:eastAsia="zh-CN"/>
        </w:rPr>
        <w:t>大小</w:t>
      </w:r>
      <w:r>
        <w:rPr>
          <w:rFonts w:hint="eastAsia" w:ascii="仿宋_GB2312" w:hAnsi="仿宋_GB2312" w:cs="仿宋_GB2312"/>
        </w:rPr>
        <w:t>都须附有正规税务发票和合同。</w:t>
      </w:r>
    </w:p>
    <w:p>
      <w:pPr>
        <w:numPr>
          <w:ilvl w:val="0"/>
          <w:numId w:val="2"/>
        </w:numPr>
        <w:spacing w:line="560" w:lineRule="exact"/>
        <w:ind w:firstLine="632" w:firstLineChars="200"/>
        <w:rPr>
          <w:rFonts w:ascii="黑体" w:hAnsi="黑体" w:eastAsia="黑体" w:cs="Times New Roman"/>
        </w:rPr>
      </w:pPr>
      <w:r>
        <w:rPr>
          <w:rFonts w:hint="eastAsia" w:ascii="黑体" w:hAnsi="黑体" w:eastAsia="黑体" w:cs="黑体"/>
        </w:rPr>
        <w:t>规范支付方式</w:t>
      </w:r>
    </w:p>
    <w:p>
      <w:pPr>
        <w:numPr>
          <w:ilvl w:val="0"/>
          <w:numId w:val="0"/>
        </w:numPr>
        <w:spacing w:line="560" w:lineRule="exact"/>
        <w:ind w:firstLine="632" w:firstLineChars="200"/>
        <w:rPr>
          <w:rFonts w:hint="eastAsia" w:ascii="楷体" w:hAnsi="楷体" w:eastAsia="楷体" w:cs="楷体"/>
          <w:lang w:eastAsia="zh-CN"/>
        </w:rPr>
      </w:pPr>
      <w:r>
        <w:rPr>
          <w:rFonts w:hint="eastAsia" w:ascii="楷体" w:hAnsi="楷体" w:eastAsia="楷体" w:cs="楷体"/>
          <w:lang w:eastAsia="zh-CN"/>
        </w:rPr>
        <w:t>（一）严格支付程序和审批制度</w:t>
      </w:r>
    </w:p>
    <w:p>
      <w:pPr>
        <w:numPr>
          <w:ilvl w:val="0"/>
          <w:numId w:val="0"/>
        </w:numPr>
        <w:spacing w:line="560" w:lineRule="exact"/>
        <w:ind w:firstLine="631"/>
        <w:rPr>
          <w:rFonts w:hint="eastAsia" w:ascii="仿宋_GB2312" w:hAnsi="仿宋_GB2312" w:cs="仿宋_GB2312"/>
          <w:lang w:val="en-US" w:eastAsia="zh-CN"/>
        </w:rPr>
      </w:pPr>
      <w:r>
        <w:rPr>
          <w:rFonts w:hint="eastAsia" w:ascii="仿宋_GB2312" w:hAnsi="仿宋_GB2312" w:cs="仿宋_GB2312"/>
          <w:lang w:val="en-US" w:eastAsia="zh-CN"/>
        </w:rPr>
        <w:t>村级组织的各项支出都必须由经手人、证明人签字，并按审批权限审批，由村务监督委员会（合作社监事会）审核，最后交由</w:t>
      </w:r>
      <w:r>
        <w:rPr>
          <w:rFonts w:hint="eastAsia" w:ascii="仿宋_GB2312" w:hAnsi="仿宋_GB2312" w:cs="仿宋_GB2312"/>
          <w:lang w:eastAsia="zh-CN"/>
        </w:rPr>
        <w:t>村级财务代理记账中心会计人员把关并支付。村级组织</w:t>
      </w:r>
      <w:r>
        <w:rPr>
          <w:rFonts w:hint="eastAsia" w:ascii="仿宋_GB2312" w:hAnsi="仿宋_GB2312" w:cs="仿宋_GB2312"/>
          <w:lang w:val="en-US" w:eastAsia="zh-CN"/>
        </w:rPr>
        <w:t>5000元以下的支出由村民委员会主任(合作社理事长）审批；5000元以上、30000元以下的支出由“村两委班子会议”（合作社理事会会议）形成会议决议后审批、并由村务监督委员会（合作社监事会）审核；30000元以上的支出由“村民代表会议”（合作社成员代表会议）形成会议决议后审批、并由村务监督委员会（合作社监事会）审核。</w:t>
      </w:r>
    </w:p>
    <w:p>
      <w:pPr>
        <w:numPr>
          <w:ilvl w:val="0"/>
          <w:numId w:val="0"/>
        </w:numPr>
        <w:spacing w:line="560" w:lineRule="exact"/>
        <w:ind w:firstLine="631"/>
        <w:rPr>
          <w:rFonts w:hint="default" w:ascii="仿宋_GB2312" w:hAnsi="仿宋_GB2312" w:cs="仿宋_GB2312"/>
          <w:lang w:val="en-US" w:eastAsia="zh-CN"/>
        </w:rPr>
      </w:pPr>
      <w:r>
        <w:rPr>
          <w:rFonts w:hint="eastAsia" w:ascii="仿宋_GB2312" w:hAnsi="仿宋_GB2312" w:cs="仿宋_GB2312"/>
          <w:lang w:val="en-US" w:eastAsia="zh-CN"/>
        </w:rPr>
        <w:t>对单笔50000元以上的支出在村级组织履行审核、审批程序后由镇集体资产监督管理委员会主任在“三资”监管平台上予以审批。</w:t>
      </w:r>
    </w:p>
    <w:p>
      <w:pPr>
        <w:numPr>
          <w:ilvl w:val="0"/>
          <w:numId w:val="0"/>
        </w:numPr>
        <w:spacing w:line="560" w:lineRule="exact"/>
        <w:ind w:firstLine="631"/>
        <w:rPr>
          <w:rFonts w:hint="eastAsia" w:ascii="楷体" w:hAnsi="楷体" w:eastAsia="楷体" w:cs="楷体"/>
          <w:lang w:val="en-US" w:eastAsia="zh-CN"/>
        </w:rPr>
      </w:pPr>
      <w:r>
        <w:rPr>
          <w:rFonts w:hint="eastAsia" w:ascii="楷体" w:hAnsi="楷体" w:eastAsia="楷体" w:cs="楷体"/>
          <w:lang w:val="en-US" w:eastAsia="zh-CN"/>
        </w:rPr>
        <w:t>（二）建立公务卡结算制度</w:t>
      </w:r>
    </w:p>
    <w:p>
      <w:pPr>
        <w:numPr>
          <w:ilvl w:val="0"/>
          <w:numId w:val="0"/>
        </w:numPr>
        <w:spacing w:line="560" w:lineRule="exact"/>
        <w:ind w:firstLine="632" w:firstLineChars="200"/>
        <w:rPr>
          <w:rFonts w:hint="eastAsia" w:ascii="仿宋_GB2312" w:hAnsi="仿宋_GB2312" w:cs="仿宋_GB2312"/>
          <w:lang w:eastAsia="zh-CN"/>
        </w:rPr>
      </w:pPr>
      <w:r>
        <w:rPr>
          <w:rFonts w:hint="eastAsia" w:ascii="仿宋_GB2312" w:hAnsi="仿宋_GB2312" w:cs="仿宋_GB2312"/>
        </w:rPr>
        <w:t>为进一步加强对村级财务支出行为合规性、真实性的监督管理，最大程度减少现金支付结算，</w:t>
      </w:r>
      <w:r>
        <w:rPr>
          <w:rFonts w:hint="eastAsia" w:ascii="仿宋_GB2312" w:hAnsi="仿宋_GB2312" w:cs="仿宋_GB2312"/>
          <w:lang w:eastAsia="zh-CN"/>
        </w:rPr>
        <w:t>全镇</w:t>
      </w:r>
      <w:r>
        <w:rPr>
          <w:rFonts w:hint="eastAsia" w:ascii="仿宋_GB2312" w:hAnsi="仿宋_GB2312" w:cs="仿宋_GB2312"/>
        </w:rPr>
        <w:t>推行村级公务卡制度</w:t>
      </w:r>
      <w:r>
        <w:rPr>
          <w:rFonts w:hint="eastAsia" w:ascii="仿宋_GB2312" w:hAnsi="仿宋_GB2312" w:cs="仿宋_GB2312"/>
          <w:lang w:eastAsia="zh-CN"/>
        </w:rPr>
        <w:t>。各村要严格按照《</w:t>
      </w:r>
      <w:r>
        <w:rPr>
          <w:rFonts w:hint="eastAsia" w:ascii="仿宋_GB2312" w:hAnsi="仿宋_GB2312" w:cs="仿宋_GB2312"/>
          <w:lang w:val="en-US" w:eastAsia="zh-CN"/>
        </w:rPr>
        <w:t>庙镇村级</w:t>
      </w:r>
      <w:r>
        <w:rPr>
          <w:rFonts w:hint="eastAsia" w:ascii="仿宋_GB2312" w:hAnsi="仿宋_GB2312" w:cs="仿宋_GB2312"/>
          <w:lang w:eastAsia="zh-CN"/>
        </w:rPr>
        <w:t>公务卡实施细则》的规定规范支付行为。</w:t>
      </w:r>
    </w:p>
    <w:p>
      <w:pPr>
        <w:numPr>
          <w:ilvl w:val="0"/>
          <w:numId w:val="0"/>
        </w:numPr>
        <w:spacing w:line="560" w:lineRule="exact"/>
        <w:ind w:firstLine="632" w:firstLineChars="200"/>
        <w:rPr>
          <w:rFonts w:hint="eastAsia" w:ascii="黑体" w:hAnsi="黑体" w:eastAsia="黑体" w:cs="黑体"/>
          <w:lang w:eastAsia="zh-CN"/>
        </w:rPr>
      </w:pPr>
      <w:r>
        <w:rPr>
          <w:rFonts w:hint="eastAsia" w:ascii="黑体" w:hAnsi="黑体" w:eastAsia="黑体" w:cs="黑体"/>
          <w:lang w:eastAsia="zh-CN"/>
        </w:rPr>
        <w:t>七、加强日常监管和考核督查</w:t>
      </w:r>
    </w:p>
    <w:p>
      <w:pPr>
        <w:numPr>
          <w:ilvl w:val="0"/>
          <w:numId w:val="0"/>
        </w:numPr>
        <w:spacing w:line="560" w:lineRule="exact"/>
        <w:ind w:firstLine="632" w:firstLineChars="200"/>
        <w:rPr>
          <w:rFonts w:hint="eastAsia" w:ascii="仿宋" w:hAnsi="仿宋" w:eastAsia="仿宋" w:cs="仿宋"/>
          <w:lang w:val="en-US" w:eastAsia="zh-CN"/>
        </w:rPr>
      </w:pPr>
      <w:r>
        <w:rPr>
          <w:rFonts w:hint="eastAsia" w:ascii="仿宋" w:hAnsi="仿宋" w:eastAsia="仿宋" w:cs="仿宋"/>
          <w:lang w:eastAsia="zh-CN"/>
        </w:rPr>
        <w:t>镇相关职能部门要增强责任意识和服务意识，充分履行好集体“三资”监管和村级财务管理职责。</w:t>
      </w:r>
      <w:r>
        <w:rPr>
          <w:rFonts w:hint="eastAsia" w:ascii="仿宋" w:hAnsi="仿宋" w:eastAsia="仿宋" w:cs="仿宋"/>
          <w:lang w:val="en-US" w:eastAsia="zh-CN"/>
        </w:rPr>
        <w:t>镇农经部门要将“三资”监管和村级财务管理列入对村级组织的年度考核内容。</w:t>
      </w:r>
      <w:r>
        <w:rPr>
          <w:rFonts w:hint="eastAsia" w:ascii="仿宋" w:hAnsi="仿宋" w:eastAsia="仿宋" w:cs="仿宋"/>
          <w:lang w:eastAsia="zh-CN"/>
        </w:rPr>
        <w:t>镇纪委、监察办、财政等部门定期联合开展内部审计监督工作和村与村之间的交叉检查工作。引入第三方审计监督机制，</w:t>
      </w:r>
      <w:r>
        <w:rPr>
          <w:rFonts w:hint="eastAsia" w:ascii="仿宋" w:hAnsi="仿宋" w:eastAsia="仿宋" w:cs="仿宋"/>
          <w:lang w:val="en-US" w:eastAsia="zh-CN"/>
        </w:rPr>
        <w:t>实行三年一轮审。</w:t>
      </w:r>
    </w:p>
    <w:p>
      <w:pPr>
        <w:numPr>
          <w:ilvl w:val="0"/>
          <w:numId w:val="0"/>
        </w:numPr>
        <w:spacing w:line="560" w:lineRule="exact"/>
        <w:ind w:firstLine="632" w:firstLineChars="200"/>
        <w:rPr>
          <w:rFonts w:ascii="黑体" w:hAnsi="黑体" w:eastAsia="黑体" w:cs="Times New Roman"/>
        </w:rPr>
      </w:pPr>
      <w:r>
        <w:rPr>
          <w:rFonts w:hint="eastAsia" w:ascii="黑体" w:hAnsi="黑体" w:eastAsia="黑体" w:cs="黑体"/>
          <w:lang w:eastAsia="zh-CN"/>
        </w:rPr>
        <w:t>八、</w:t>
      </w:r>
      <w:r>
        <w:rPr>
          <w:rFonts w:hint="eastAsia" w:ascii="黑体" w:hAnsi="黑体" w:eastAsia="黑体" w:cs="黑体"/>
        </w:rPr>
        <w:t>其他</w:t>
      </w:r>
    </w:p>
    <w:p>
      <w:pPr>
        <w:numPr>
          <w:ilvl w:val="0"/>
          <w:numId w:val="3"/>
        </w:numPr>
        <w:spacing w:line="560" w:lineRule="exact"/>
        <w:ind w:firstLine="632" w:firstLineChars="200"/>
        <w:rPr>
          <w:rFonts w:ascii="仿宋_GB2312" w:cs="Times New Roman"/>
        </w:rPr>
      </w:pPr>
      <w:r>
        <w:rPr>
          <w:rFonts w:hint="eastAsia" w:ascii="仿宋_GB2312" w:hAnsi="仿宋_GB2312" w:cs="仿宋_GB2312"/>
        </w:rPr>
        <w:t>本</w:t>
      </w:r>
      <w:r>
        <w:rPr>
          <w:rFonts w:hint="eastAsia" w:ascii="仿宋_GB2312" w:hAnsi="仿宋_GB2312" w:cs="仿宋_GB2312"/>
          <w:lang w:eastAsia="zh-CN"/>
        </w:rPr>
        <w:t>实施办法</w:t>
      </w:r>
      <w:r>
        <w:rPr>
          <w:rFonts w:hint="eastAsia" w:ascii="仿宋_GB2312" w:hAnsi="仿宋_GB2312" w:cs="仿宋_GB2312"/>
        </w:rPr>
        <w:t>适用于村民委员会与村级集体经济组织。</w:t>
      </w:r>
    </w:p>
    <w:p>
      <w:pPr>
        <w:numPr>
          <w:ilvl w:val="0"/>
          <w:numId w:val="3"/>
        </w:numPr>
        <w:spacing w:line="560" w:lineRule="exact"/>
        <w:ind w:firstLine="632" w:firstLineChars="200"/>
        <w:rPr>
          <w:rFonts w:ascii="仿宋_GB2312" w:cs="Times New Roman"/>
        </w:rPr>
      </w:pPr>
      <w:r>
        <w:rPr>
          <w:rFonts w:hint="eastAsia" w:ascii="仿宋_GB2312" w:hAnsi="仿宋_GB2312" w:cs="仿宋_GB2312"/>
        </w:rPr>
        <w:t>本</w:t>
      </w:r>
      <w:r>
        <w:rPr>
          <w:rFonts w:hint="eastAsia" w:ascii="仿宋_GB2312" w:hAnsi="仿宋_GB2312" w:cs="仿宋_GB2312"/>
          <w:lang w:eastAsia="zh-CN"/>
        </w:rPr>
        <w:t>办法</w:t>
      </w:r>
      <w:r>
        <w:rPr>
          <w:rFonts w:hint="eastAsia" w:ascii="仿宋_GB2312" w:hAnsi="仿宋_GB2312" w:cs="仿宋_GB2312"/>
        </w:rPr>
        <w:t>实施之前与本</w:t>
      </w:r>
      <w:r>
        <w:rPr>
          <w:rFonts w:hint="eastAsia" w:ascii="仿宋_GB2312" w:hAnsi="仿宋_GB2312" w:cs="仿宋_GB2312"/>
          <w:lang w:eastAsia="zh-CN"/>
        </w:rPr>
        <w:t>办法</w:t>
      </w:r>
      <w:r>
        <w:rPr>
          <w:rFonts w:hint="eastAsia" w:ascii="仿宋_GB2312" w:hAnsi="仿宋_GB2312" w:cs="仿宋_GB2312"/>
        </w:rPr>
        <w:t>相抵触的相关规定，以本</w:t>
      </w:r>
      <w:r>
        <w:rPr>
          <w:rFonts w:hint="eastAsia" w:ascii="仿宋_GB2312" w:hAnsi="仿宋_GB2312" w:cs="仿宋_GB2312"/>
          <w:lang w:eastAsia="zh-CN"/>
        </w:rPr>
        <w:t>办法</w:t>
      </w:r>
      <w:r>
        <w:rPr>
          <w:rFonts w:hint="eastAsia" w:ascii="仿宋_GB2312" w:hAnsi="仿宋_GB2312" w:cs="仿宋_GB2312"/>
        </w:rPr>
        <w:t>为准。</w:t>
      </w:r>
    </w:p>
    <w:p>
      <w:pPr>
        <w:spacing w:line="560" w:lineRule="exact"/>
        <w:ind w:firstLine="4740" w:firstLineChars="1500"/>
        <w:rPr>
          <w:rFonts w:hint="eastAsia" w:ascii="仿宋_GB2312" w:hAnsi="仿宋_GB2312" w:cs="仿宋_GB2312"/>
          <w:lang w:eastAsia="zh-CN"/>
        </w:rPr>
      </w:pPr>
    </w:p>
    <w:p>
      <w:pPr>
        <w:spacing w:line="560" w:lineRule="exact"/>
        <w:ind w:firstLine="4740" w:firstLineChars="1500"/>
        <w:rPr>
          <w:rFonts w:hint="eastAsia" w:ascii="仿宋_GB2312" w:hAnsi="仿宋_GB2312" w:cs="仿宋_GB2312"/>
          <w:lang w:eastAsia="zh-CN"/>
        </w:rPr>
      </w:pPr>
    </w:p>
    <w:p>
      <w:pPr>
        <w:spacing w:line="560" w:lineRule="exact"/>
        <w:ind w:firstLine="4740" w:firstLineChars="1500"/>
        <w:rPr>
          <w:rFonts w:hint="eastAsia" w:ascii="仿宋_GB2312" w:hAnsi="仿宋_GB2312" w:cs="仿宋_GB2312"/>
          <w:lang w:eastAsia="zh-CN"/>
        </w:rPr>
      </w:pPr>
      <w:r>
        <w:rPr>
          <w:rFonts w:hint="eastAsia" w:ascii="仿宋_GB2312" w:hAnsi="仿宋_GB2312" w:cs="仿宋_GB2312"/>
          <w:lang w:eastAsia="zh-CN"/>
        </w:rPr>
        <w:t>崇明区庙镇人民政府</w:t>
      </w:r>
    </w:p>
    <w:p>
      <w:pPr>
        <w:spacing w:line="560" w:lineRule="exact"/>
        <w:ind w:firstLine="5056" w:firstLineChars="1600"/>
        <w:rPr>
          <w:rFonts w:hint="default" w:ascii="仿宋_GB2312" w:hAnsi="仿宋_GB2312" w:cs="仿宋_GB2312"/>
          <w:lang w:val="en-US" w:eastAsia="zh-CN"/>
        </w:rPr>
      </w:pPr>
      <w:r>
        <w:rPr>
          <w:rFonts w:hint="eastAsia" w:ascii="仿宋_GB2312" w:hAnsi="仿宋_GB2312" w:cs="仿宋_GB2312"/>
          <w:lang w:val="en-US" w:eastAsia="zh-CN"/>
        </w:rPr>
        <w:t>2023年11月20日</w:t>
      </w:r>
    </w:p>
    <w:p>
      <w:pPr>
        <w:spacing w:line="560" w:lineRule="exact"/>
        <w:rPr>
          <w:rFonts w:hint="eastAsia" w:ascii="黑体" w:hAnsi="黑体" w:eastAsia="黑体" w:cs="黑体"/>
        </w:rPr>
      </w:pPr>
    </w:p>
    <w:p>
      <w:pPr>
        <w:spacing w:line="560" w:lineRule="exact"/>
        <w:rPr>
          <w:rFonts w:hint="eastAsia" w:ascii="黑体" w:hAnsi="黑体" w:eastAsia="黑体" w:cs="黑体"/>
        </w:rPr>
      </w:pPr>
    </w:p>
    <w:p>
      <w:pPr>
        <w:spacing w:line="560" w:lineRule="exact"/>
        <w:rPr>
          <w:rFonts w:hint="eastAsia" w:ascii="黑体" w:hAnsi="黑体" w:eastAsia="黑体" w:cs="黑体"/>
        </w:rPr>
      </w:pPr>
    </w:p>
    <w:p>
      <w:pPr>
        <w:spacing w:line="560" w:lineRule="exact"/>
        <w:rPr>
          <w:rFonts w:hint="eastAsia" w:ascii="黑体" w:hAnsi="黑体" w:eastAsia="黑体" w:cs="黑体"/>
        </w:rPr>
      </w:pPr>
    </w:p>
    <w:p>
      <w:pPr>
        <w:spacing w:line="560" w:lineRule="exact"/>
        <w:rPr>
          <w:rFonts w:hint="eastAsia" w:ascii="黑体" w:hAnsi="黑体" w:eastAsia="黑体" w:cs="黑体"/>
        </w:rPr>
      </w:pPr>
    </w:p>
    <w:p>
      <w:pPr>
        <w:spacing w:line="360" w:lineRule="auto"/>
        <w:rPr>
          <w:rFonts w:ascii="仿宋_GB2312" w:hAnsi="仿宋_GB2312" w:cs="仿宋_GB2312"/>
          <w:b/>
          <w:bCs/>
        </w:rPr>
      </w:pPr>
      <w:bookmarkStart w:id="0" w:name="_GoBack"/>
      <w:bookmarkEnd w:id="0"/>
    </w:p>
    <w:sectPr>
      <w:footerReference r:id="rId3" w:type="default"/>
      <w:pgSz w:w="11906" w:h="16838"/>
      <w:pgMar w:top="2098" w:right="1474" w:bottom="1984" w:left="1587" w:header="851" w:footer="1417" w:gutter="0"/>
      <w:pgNumType w:fmt="numberInDash"/>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cs="Times New Roman"/>
                  </w:rPr>
                </w:pPr>
                <w:r>
                  <w:fldChar w:fldCharType="begin"/>
                </w:r>
                <w:r>
                  <w:instrText xml:space="preserve"> PAGE  \* MERGEFORMAT </w:instrText>
                </w:r>
                <w:r>
                  <w:fldChar w:fldCharType="separate"/>
                </w:r>
                <w:r>
                  <w:t>- 1 -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10E8B"/>
    <w:multiLevelType w:val="singleLevel"/>
    <w:tmpl w:val="B8D10E8B"/>
    <w:lvl w:ilvl="0" w:tentative="0">
      <w:start w:val="2"/>
      <w:numFmt w:val="chineseCounting"/>
      <w:suff w:val="nothing"/>
      <w:lvlText w:val="（%1）"/>
      <w:lvlJc w:val="left"/>
      <w:rPr>
        <w:rFonts w:hint="eastAsia"/>
      </w:rPr>
    </w:lvl>
  </w:abstractNum>
  <w:abstractNum w:abstractNumId="1">
    <w:nsid w:val="5E04C2B5"/>
    <w:multiLevelType w:val="singleLevel"/>
    <w:tmpl w:val="5E04C2B5"/>
    <w:lvl w:ilvl="0" w:tentative="0">
      <w:start w:val="1"/>
      <w:numFmt w:val="chineseCounting"/>
      <w:suff w:val="nothing"/>
      <w:lvlText w:val="(%1）"/>
      <w:lvlJc w:val="left"/>
      <w:rPr>
        <w:rFonts w:hint="eastAsia"/>
      </w:rPr>
    </w:lvl>
  </w:abstractNum>
  <w:abstractNum w:abstractNumId="2">
    <w:nsid w:val="799E266C"/>
    <w:multiLevelType w:val="singleLevel"/>
    <w:tmpl w:val="799E266C"/>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1NmNjMjE4NTQ1MjlkYzkzNjI0NDdiYmQ1Mzg5ZDMifQ=="/>
  </w:docVars>
  <w:rsids>
    <w:rsidRoot w:val="00B504BD"/>
    <w:rsid w:val="0000267F"/>
    <w:rsid w:val="00027D2B"/>
    <w:rsid w:val="000F1FD2"/>
    <w:rsid w:val="00101982"/>
    <w:rsid w:val="00135507"/>
    <w:rsid w:val="001A4467"/>
    <w:rsid w:val="001D392B"/>
    <w:rsid w:val="001F6E7B"/>
    <w:rsid w:val="002101B3"/>
    <w:rsid w:val="0028551E"/>
    <w:rsid w:val="003D41A4"/>
    <w:rsid w:val="003D7259"/>
    <w:rsid w:val="00454D17"/>
    <w:rsid w:val="00474DAB"/>
    <w:rsid w:val="004818ED"/>
    <w:rsid w:val="00481F3E"/>
    <w:rsid w:val="00500D08"/>
    <w:rsid w:val="00503432"/>
    <w:rsid w:val="00515673"/>
    <w:rsid w:val="0052438A"/>
    <w:rsid w:val="00526937"/>
    <w:rsid w:val="00555186"/>
    <w:rsid w:val="005A3090"/>
    <w:rsid w:val="00690444"/>
    <w:rsid w:val="007812D6"/>
    <w:rsid w:val="007A33D0"/>
    <w:rsid w:val="007D4AE6"/>
    <w:rsid w:val="008718CA"/>
    <w:rsid w:val="00886CDB"/>
    <w:rsid w:val="00895918"/>
    <w:rsid w:val="00941702"/>
    <w:rsid w:val="0094451D"/>
    <w:rsid w:val="0096726F"/>
    <w:rsid w:val="009928B7"/>
    <w:rsid w:val="00A52085"/>
    <w:rsid w:val="00A93F40"/>
    <w:rsid w:val="00AA2EFA"/>
    <w:rsid w:val="00AF00FF"/>
    <w:rsid w:val="00B05204"/>
    <w:rsid w:val="00B13177"/>
    <w:rsid w:val="00B504BD"/>
    <w:rsid w:val="00B54F16"/>
    <w:rsid w:val="00C0085B"/>
    <w:rsid w:val="00C01F42"/>
    <w:rsid w:val="00C33334"/>
    <w:rsid w:val="00CB1708"/>
    <w:rsid w:val="00CB632B"/>
    <w:rsid w:val="00CC6EB7"/>
    <w:rsid w:val="00CF5F8C"/>
    <w:rsid w:val="00D17E0E"/>
    <w:rsid w:val="00D36188"/>
    <w:rsid w:val="00D645E5"/>
    <w:rsid w:val="00DB6B38"/>
    <w:rsid w:val="00E111AF"/>
    <w:rsid w:val="00E85BA8"/>
    <w:rsid w:val="00E85F16"/>
    <w:rsid w:val="00EA0966"/>
    <w:rsid w:val="00EA706E"/>
    <w:rsid w:val="00F00993"/>
    <w:rsid w:val="00F038E0"/>
    <w:rsid w:val="00F473E1"/>
    <w:rsid w:val="00F735D4"/>
    <w:rsid w:val="00FA3925"/>
    <w:rsid w:val="016D1054"/>
    <w:rsid w:val="01E7417D"/>
    <w:rsid w:val="02974FA6"/>
    <w:rsid w:val="02D82D71"/>
    <w:rsid w:val="032E2643"/>
    <w:rsid w:val="033A42AF"/>
    <w:rsid w:val="034C3FD4"/>
    <w:rsid w:val="03771F9F"/>
    <w:rsid w:val="04153508"/>
    <w:rsid w:val="043B287C"/>
    <w:rsid w:val="04C05F13"/>
    <w:rsid w:val="04C4237E"/>
    <w:rsid w:val="053A245D"/>
    <w:rsid w:val="05525393"/>
    <w:rsid w:val="0557371E"/>
    <w:rsid w:val="05CD1777"/>
    <w:rsid w:val="065062D6"/>
    <w:rsid w:val="06856519"/>
    <w:rsid w:val="06CA5EDD"/>
    <w:rsid w:val="07235E85"/>
    <w:rsid w:val="07825DF5"/>
    <w:rsid w:val="078E046A"/>
    <w:rsid w:val="07972293"/>
    <w:rsid w:val="07C05A28"/>
    <w:rsid w:val="07DA6755"/>
    <w:rsid w:val="080512EE"/>
    <w:rsid w:val="08201388"/>
    <w:rsid w:val="09365DCE"/>
    <w:rsid w:val="096C76A0"/>
    <w:rsid w:val="0A1B2757"/>
    <w:rsid w:val="0A5437C7"/>
    <w:rsid w:val="0A7D2E8B"/>
    <w:rsid w:val="0AD56ED2"/>
    <w:rsid w:val="0BB455A5"/>
    <w:rsid w:val="0BCF06C4"/>
    <w:rsid w:val="0C0325D2"/>
    <w:rsid w:val="0C471AAE"/>
    <w:rsid w:val="0C6707E2"/>
    <w:rsid w:val="0D1D527A"/>
    <w:rsid w:val="0D2E0265"/>
    <w:rsid w:val="0D6B0831"/>
    <w:rsid w:val="0D7762DA"/>
    <w:rsid w:val="0E7B50C6"/>
    <w:rsid w:val="0E83043E"/>
    <w:rsid w:val="0E8A1634"/>
    <w:rsid w:val="0ED83AC9"/>
    <w:rsid w:val="0FBE10BD"/>
    <w:rsid w:val="109704E7"/>
    <w:rsid w:val="109F026C"/>
    <w:rsid w:val="113B7F2C"/>
    <w:rsid w:val="117B6394"/>
    <w:rsid w:val="11D66A99"/>
    <w:rsid w:val="11D91104"/>
    <w:rsid w:val="12117C6A"/>
    <w:rsid w:val="124367D7"/>
    <w:rsid w:val="12CE3912"/>
    <w:rsid w:val="1340580D"/>
    <w:rsid w:val="135F1D1C"/>
    <w:rsid w:val="13E11E06"/>
    <w:rsid w:val="148D5C82"/>
    <w:rsid w:val="14A84359"/>
    <w:rsid w:val="1522465B"/>
    <w:rsid w:val="15996996"/>
    <w:rsid w:val="15A91EC4"/>
    <w:rsid w:val="15B17BC2"/>
    <w:rsid w:val="15B87AC1"/>
    <w:rsid w:val="1644293C"/>
    <w:rsid w:val="168E7000"/>
    <w:rsid w:val="169169AA"/>
    <w:rsid w:val="16A9089B"/>
    <w:rsid w:val="16AD3A89"/>
    <w:rsid w:val="16E544F2"/>
    <w:rsid w:val="175B547E"/>
    <w:rsid w:val="17FF7483"/>
    <w:rsid w:val="1820730F"/>
    <w:rsid w:val="183C2C42"/>
    <w:rsid w:val="18896EF5"/>
    <w:rsid w:val="18A03CD7"/>
    <w:rsid w:val="19246638"/>
    <w:rsid w:val="197B6E66"/>
    <w:rsid w:val="19CB305C"/>
    <w:rsid w:val="19FD0629"/>
    <w:rsid w:val="1A822DCB"/>
    <w:rsid w:val="1B444E39"/>
    <w:rsid w:val="1B582966"/>
    <w:rsid w:val="1BCB70E2"/>
    <w:rsid w:val="1C8B6AB6"/>
    <w:rsid w:val="1CB0525C"/>
    <w:rsid w:val="1D3020B6"/>
    <w:rsid w:val="1D8A356F"/>
    <w:rsid w:val="1D9B60C6"/>
    <w:rsid w:val="1DED4B01"/>
    <w:rsid w:val="1E134A33"/>
    <w:rsid w:val="1E613CFF"/>
    <w:rsid w:val="1E6918F0"/>
    <w:rsid w:val="1E9908B3"/>
    <w:rsid w:val="1F892C88"/>
    <w:rsid w:val="1FA66E63"/>
    <w:rsid w:val="1FDE3F56"/>
    <w:rsid w:val="204871F2"/>
    <w:rsid w:val="214831FD"/>
    <w:rsid w:val="21966809"/>
    <w:rsid w:val="219821F8"/>
    <w:rsid w:val="22171241"/>
    <w:rsid w:val="228C4EC5"/>
    <w:rsid w:val="2398423B"/>
    <w:rsid w:val="23F16555"/>
    <w:rsid w:val="25F63D8B"/>
    <w:rsid w:val="25F81917"/>
    <w:rsid w:val="26542CFE"/>
    <w:rsid w:val="26927ADE"/>
    <w:rsid w:val="26F64922"/>
    <w:rsid w:val="27C15988"/>
    <w:rsid w:val="28373C13"/>
    <w:rsid w:val="287F1A8E"/>
    <w:rsid w:val="2A5F34E6"/>
    <w:rsid w:val="2A7F64AC"/>
    <w:rsid w:val="2A973564"/>
    <w:rsid w:val="2AF00E51"/>
    <w:rsid w:val="2AFB2A94"/>
    <w:rsid w:val="2B762EDE"/>
    <w:rsid w:val="2B953E95"/>
    <w:rsid w:val="2C492E5A"/>
    <w:rsid w:val="2C4C492F"/>
    <w:rsid w:val="2CB079AF"/>
    <w:rsid w:val="2CF747DA"/>
    <w:rsid w:val="2D6B404D"/>
    <w:rsid w:val="2D6B5906"/>
    <w:rsid w:val="2DA83208"/>
    <w:rsid w:val="2DD12FAF"/>
    <w:rsid w:val="2E0922D0"/>
    <w:rsid w:val="2E1700F1"/>
    <w:rsid w:val="2E84094A"/>
    <w:rsid w:val="2E862E89"/>
    <w:rsid w:val="2F0802F5"/>
    <w:rsid w:val="2FD8177C"/>
    <w:rsid w:val="2FEA6E58"/>
    <w:rsid w:val="301D5959"/>
    <w:rsid w:val="30456C11"/>
    <w:rsid w:val="30B60328"/>
    <w:rsid w:val="30C11022"/>
    <w:rsid w:val="315D4F85"/>
    <w:rsid w:val="32196160"/>
    <w:rsid w:val="32894CA8"/>
    <w:rsid w:val="329F3175"/>
    <w:rsid w:val="32E566A8"/>
    <w:rsid w:val="32E91377"/>
    <w:rsid w:val="333B5E3D"/>
    <w:rsid w:val="33AF6623"/>
    <w:rsid w:val="33FA0630"/>
    <w:rsid w:val="345019D9"/>
    <w:rsid w:val="34B30912"/>
    <w:rsid w:val="34DF0000"/>
    <w:rsid w:val="350B102C"/>
    <w:rsid w:val="360A1D36"/>
    <w:rsid w:val="364524B3"/>
    <w:rsid w:val="37B52DB5"/>
    <w:rsid w:val="384D4CAF"/>
    <w:rsid w:val="38590D34"/>
    <w:rsid w:val="386A12C1"/>
    <w:rsid w:val="38956FFC"/>
    <w:rsid w:val="38980CED"/>
    <w:rsid w:val="393256C9"/>
    <w:rsid w:val="39404708"/>
    <w:rsid w:val="39551D3F"/>
    <w:rsid w:val="3AA54344"/>
    <w:rsid w:val="3AC34EFF"/>
    <w:rsid w:val="3AF37C5B"/>
    <w:rsid w:val="3B4C30D7"/>
    <w:rsid w:val="3B843164"/>
    <w:rsid w:val="3BCF57BA"/>
    <w:rsid w:val="3C85575B"/>
    <w:rsid w:val="3D5104B7"/>
    <w:rsid w:val="3D7820DC"/>
    <w:rsid w:val="3DAB2E49"/>
    <w:rsid w:val="3DB82C5C"/>
    <w:rsid w:val="3DCE23CB"/>
    <w:rsid w:val="3DCE5A6C"/>
    <w:rsid w:val="3E475191"/>
    <w:rsid w:val="3E495468"/>
    <w:rsid w:val="3E663244"/>
    <w:rsid w:val="3EA8072C"/>
    <w:rsid w:val="3EE41DB4"/>
    <w:rsid w:val="3F1D0626"/>
    <w:rsid w:val="3FE76DB1"/>
    <w:rsid w:val="402C0554"/>
    <w:rsid w:val="409E7EDB"/>
    <w:rsid w:val="40B30872"/>
    <w:rsid w:val="41180244"/>
    <w:rsid w:val="411F5144"/>
    <w:rsid w:val="41592DA3"/>
    <w:rsid w:val="416A76AD"/>
    <w:rsid w:val="41BC61EB"/>
    <w:rsid w:val="41BF1C3F"/>
    <w:rsid w:val="42587412"/>
    <w:rsid w:val="428E583F"/>
    <w:rsid w:val="432B70A6"/>
    <w:rsid w:val="438338BD"/>
    <w:rsid w:val="449842FA"/>
    <w:rsid w:val="44CE1C99"/>
    <w:rsid w:val="451F57BB"/>
    <w:rsid w:val="45AD4A89"/>
    <w:rsid w:val="46102AAF"/>
    <w:rsid w:val="465E7DF1"/>
    <w:rsid w:val="467727A1"/>
    <w:rsid w:val="4699101C"/>
    <w:rsid w:val="46B36FBB"/>
    <w:rsid w:val="46E00174"/>
    <w:rsid w:val="46E022EF"/>
    <w:rsid w:val="46F410CC"/>
    <w:rsid w:val="476E2BA9"/>
    <w:rsid w:val="48A34523"/>
    <w:rsid w:val="499811D0"/>
    <w:rsid w:val="49AC68DF"/>
    <w:rsid w:val="49EB3C9A"/>
    <w:rsid w:val="49F47F9F"/>
    <w:rsid w:val="4A6003DD"/>
    <w:rsid w:val="4B1A51B2"/>
    <w:rsid w:val="4D272D28"/>
    <w:rsid w:val="4D3A33F7"/>
    <w:rsid w:val="4D6B19BF"/>
    <w:rsid w:val="4DE9361F"/>
    <w:rsid w:val="4E8D2A78"/>
    <w:rsid w:val="4EA123B3"/>
    <w:rsid w:val="4F000E1A"/>
    <w:rsid w:val="4F321AD0"/>
    <w:rsid w:val="4F4F2301"/>
    <w:rsid w:val="505E2C20"/>
    <w:rsid w:val="505F7AC3"/>
    <w:rsid w:val="507220D9"/>
    <w:rsid w:val="50815A11"/>
    <w:rsid w:val="50E146CE"/>
    <w:rsid w:val="518069F6"/>
    <w:rsid w:val="51E157AC"/>
    <w:rsid w:val="520544E3"/>
    <w:rsid w:val="52760515"/>
    <w:rsid w:val="52E814B3"/>
    <w:rsid w:val="537014DD"/>
    <w:rsid w:val="53F3021A"/>
    <w:rsid w:val="54960281"/>
    <w:rsid w:val="54D27152"/>
    <w:rsid w:val="5542224A"/>
    <w:rsid w:val="55966623"/>
    <w:rsid w:val="55E02C94"/>
    <w:rsid w:val="565F6D24"/>
    <w:rsid w:val="56700432"/>
    <w:rsid w:val="56B76562"/>
    <w:rsid w:val="56D206B7"/>
    <w:rsid w:val="56EA41B3"/>
    <w:rsid w:val="570E5D65"/>
    <w:rsid w:val="57262F90"/>
    <w:rsid w:val="577E210C"/>
    <w:rsid w:val="57977482"/>
    <w:rsid w:val="587D4947"/>
    <w:rsid w:val="58831F1A"/>
    <w:rsid w:val="59A5385B"/>
    <w:rsid w:val="59A91470"/>
    <w:rsid w:val="5A2927EA"/>
    <w:rsid w:val="5A702743"/>
    <w:rsid w:val="5A8E7F4E"/>
    <w:rsid w:val="5AB268EC"/>
    <w:rsid w:val="5AB34FA9"/>
    <w:rsid w:val="5AB42B10"/>
    <w:rsid w:val="5B235B28"/>
    <w:rsid w:val="5B681BC0"/>
    <w:rsid w:val="5B6E6631"/>
    <w:rsid w:val="5BB1546C"/>
    <w:rsid w:val="5BD37104"/>
    <w:rsid w:val="5BE61500"/>
    <w:rsid w:val="5C170F60"/>
    <w:rsid w:val="5D7270A9"/>
    <w:rsid w:val="5F090ECB"/>
    <w:rsid w:val="5F112781"/>
    <w:rsid w:val="5F405190"/>
    <w:rsid w:val="5F67002D"/>
    <w:rsid w:val="6055105E"/>
    <w:rsid w:val="61C52B78"/>
    <w:rsid w:val="61C5510F"/>
    <w:rsid w:val="61F76B6F"/>
    <w:rsid w:val="6200701F"/>
    <w:rsid w:val="623C5900"/>
    <w:rsid w:val="6308373E"/>
    <w:rsid w:val="636B39A9"/>
    <w:rsid w:val="63E114EA"/>
    <w:rsid w:val="64116970"/>
    <w:rsid w:val="64AD3A90"/>
    <w:rsid w:val="64EE5094"/>
    <w:rsid w:val="65486AB5"/>
    <w:rsid w:val="662A655D"/>
    <w:rsid w:val="66324B42"/>
    <w:rsid w:val="67565D6C"/>
    <w:rsid w:val="678644E4"/>
    <w:rsid w:val="678D4319"/>
    <w:rsid w:val="680B753F"/>
    <w:rsid w:val="68346435"/>
    <w:rsid w:val="68C2318C"/>
    <w:rsid w:val="68DC19E7"/>
    <w:rsid w:val="6925356B"/>
    <w:rsid w:val="694C55DA"/>
    <w:rsid w:val="6A1741F4"/>
    <w:rsid w:val="6A1A5AE9"/>
    <w:rsid w:val="6A2844C4"/>
    <w:rsid w:val="6AB021FF"/>
    <w:rsid w:val="6B3273B4"/>
    <w:rsid w:val="6BC53D6B"/>
    <w:rsid w:val="6BD83B6E"/>
    <w:rsid w:val="6C4642AD"/>
    <w:rsid w:val="6C7B3DEF"/>
    <w:rsid w:val="6CBE65C9"/>
    <w:rsid w:val="6CCE4534"/>
    <w:rsid w:val="6CD3705D"/>
    <w:rsid w:val="6CE939D0"/>
    <w:rsid w:val="6D55508A"/>
    <w:rsid w:val="6D5D100F"/>
    <w:rsid w:val="6EBE5C91"/>
    <w:rsid w:val="6EFC21E0"/>
    <w:rsid w:val="6F037B53"/>
    <w:rsid w:val="6F17248F"/>
    <w:rsid w:val="6FC73F7D"/>
    <w:rsid w:val="6FFB2C5D"/>
    <w:rsid w:val="7168160A"/>
    <w:rsid w:val="71867C87"/>
    <w:rsid w:val="71AA419D"/>
    <w:rsid w:val="71CF64A5"/>
    <w:rsid w:val="723D0D76"/>
    <w:rsid w:val="723F4979"/>
    <w:rsid w:val="733E0564"/>
    <w:rsid w:val="73A17310"/>
    <w:rsid w:val="740725B5"/>
    <w:rsid w:val="741D104B"/>
    <w:rsid w:val="744C6CFE"/>
    <w:rsid w:val="74A268F3"/>
    <w:rsid w:val="74A50F7B"/>
    <w:rsid w:val="753847A8"/>
    <w:rsid w:val="75CA5AFA"/>
    <w:rsid w:val="760300C0"/>
    <w:rsid w:val="76A2108A"/>
    <w:rsid w:val="76A57BE0"/>
    <w:rsid w:val="770B35DF"/>
    <w:rsid w:val="777E78C5"/>
    <w:rsid w:val="783725BD"/>
    <w:rsid w:val="797612DD"/>
    <w:rsid w:val="79CF037C"/>
    <w:rsid w:val="7AF73B42"/>
    <w:rsid w:val="7AFA0625"/>
    <w:rsid w:val="7B215AA0"/>
    <w:rsid w:val="7B3374D6"/>
    <w:rsid w:val="7B3E271E"/>
    <w:rsid w:val="7C47056E"/>
    <w:rsid w:val="7CE12851"/>
    <w:rsid w:val="7F1D4C01"/>
    <w:rsid w:val="7F244290"/>
    <w:rsid w:val="7FFA7A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Calibri"/>
      <w:kern w:val="2"/>
      <w:sz w:val="32"/>
      <w:szCs w:val="32"/>
      <w:lang w:val="en-US" w:eastAsia="zh-CN" w:bidi="ar-SA"/>
    </w:rPr>
  </w:style>
  <w:style w:type="character" w:default="1" w:styleId="10">
    <w:name w:val="Default Paragraph Font"/>
    <w:autoRedefine/>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paragraph" w:styleId="7">
    <w:name w:val="annotation subject"/>
    <w:basedOn w:val="2"/>
    <w:next w:val="2"/>
    <w:link w:val="20"/>
    <w:semiHidden/>
    <w:qFormat/>
    <w:uiPriority w:val="99"/>
    <w:rPr>
      <w:b/>
      <w:bCs/>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FollowedHyperlink"/>
    <w:basedOn w:val="10"/>
    <w:qFormat/>
    <w:uiPriority w:val="99"/>
    <w:rPr>
      <w:color w:val="auto"/>
      <w:sz w:val="18"/>
      <w:szCs w:val="18"/>
      <w:u w:val="none"/>
    </w:rPr>
  </w:style>
  <w:style w:type="character" w:styleId="13">
    <w:name w:val="Emphasis"/>
    <w:basedOn w:val="10"/>
    <w:qFormat/>
    <w:uiPriority w:val="99"/>
    <w:rPr>
      <w:i/>
      <w:iCs/>
    </w:rPr>
  </w:style>
  <w:style w:type="character" w:styleId="14">
    <w:name w:val="Hyperlink"/>
    <w:basedOn w:val="10"/>
    <w:qFormat/>
    <w:uiPriority w:val="99"/>
    <w:rPr>
      <w:color w:val="auto"/>
      <w:sz w:val="18"/>
      <w:szCs w:val="18"/>
      <w:u w:val="none"/>
    </w:rPr>
  </w:style>
  <w:style w:type="character" w:styleId="15">
    <w:name w:val="annotation reference"/>
    <w:basedOn w:val="10"/>
    <w:semiHidden/>
    <w:qFormat/>
    <w:uiPriority w:val="99"/>
    <w:rPr>
      <w:sz w:val="21"/>
      <w:szCs w:val="21"/>
    </w:rPr>
  </w:style>
  <w:style w:type="character" w:customStyle="1" w:styleId="16">
    <w:name w:val="Comment Text Char"/>
    <w:basedOn w:val="10"/>
    <w:link w:val="2"/>
    <w:autoRedefine/>
    <w:qFormat/>
    <w:locked/>
    <w:uiPriority w:val="99"/>
    <w:rPr>
      <w:rFonts w:ascii="Calibri" w:hAnsi="Calibri" w:eastAsia="宋体" w:cs="Calibri"/>
      <w:kern w:val="2"/>
      <w:sz w:val="24"/>
      <w:szCs w:val="24"/>
    </w:rPr>
  </w:style>
  <w:style w:type="character" w:customStyle="1" w:styleId="17">
    <w:name w:val="Balloon Text Char"/>
    <w:basedOn w:val="10"/>
    <w:link w:val="3"/>
    <w:autoRedefine/>
    <w:qFormat/>
    <w:locked/>
    <w:uiPriority w:val="99"/>
    <w:rPr>
      <w:rFonts w:ascii="Calibri" w:hAnsi="Calibri" w:eastAsia="宋体" w:cs="Calibri"/>
      <w:kern w:val="2"/>
      <w:sz w:val="18"/>
      <w:szCs w:val="18"/>
    </w:rPr>
  </w:style>
  <w:style w:type="character" w:customStyle="1" w:styleId="18">
    <w:name w:val="Footer Char"/>
    <w:basedOn w:val="10"/>
    <w:link w:val="4"/>
    <w:autoRedefine/>
    <w:qFormat/>
    <w:locked/>
    <w:uiPriority w:val="99"/>
    <w:rPr>
      <w:rFonts w:ascii="Calibri" w:hAnsi="Calibri" w:eastAsia="宋体" w:cs="Calibri"/>
      <w:kern w:val="2"/>
      <w:sz w:val="18"/>
      <w:szCs w:val="18"/>
    </w:rPr>
  </w:style>
  <w:style w:type="character" w:customStyle="1" w:styleId="19">
    <w:name w:val="Header Char"/>
    <w:basedOn w:val="10"/>
    <w:link w:val="5"/>
    <w:autoRedefine/>
    <w:qFormat/>
    <w:locked/>
    <w:uiPriority w:val="99"/>
    <w:rPr>
      <w:rFonts w:ascii="Calibri" w:hAnsi="Calibri" w:eastAsia="宋体" w:cs="Calibri"/>
      <w:kern w:val="2"/>
      <w:sz w:val="18"/>
      <w:szCs w:val="18"/>
    </w:rPr>
  </w:style>
  <w:style w:type="character" w:customStyle="1" w:styleId="20">
    <w:name w:val="Comment Subject Char"/>
    <w:basedOn w:val="16"/>
    <w:link w:val="7"/>
    <w:autoRedefine/>
    <w:qFormat/>
    <w:locked/>
    <w:uiPriority w:val="99"/>
    <w:rPr>
      <w:b/>
      <w:bCs/>
    </w:rPr>
  </w:style>
  <w:style w:type="paragraph" w:customStyle="1" w:styleId="21">
    <w:name w:val="列出段落1"/>
    <w:basedOn w:val="1"/>
    <w:qFormat/>
    <w:uiPriority w:val="99"/>
    <w:pPr>
      <w:ind w:firstLine="420" w:firstLineChars="200"/>
    </w:pPr>
  </w:style>
  <w:style w:type="character" w:customStyle="1" w:styleId="22">
    <w:name w:val="item-name"/>
    <w:basedOn w:val="10"/>
    <w:autoRedefine/>
    <w:qFormat/>
    <w:uiPriority w:val="99"/>
  </w:style>
  <w:style w:type="character" w:customStyle="1" w:styleId="23">
    <w:name w:val="item-name1"/>
    <w:basedOn w:val="10"/>
    <w:autoRedefine/>
    <w:qFormat/>
    <w:uiPriority w:val="99"/>
  </w:style>
  <w:style w:type="character" w:customStyle="1" w:styleId="24">
    <w:name w:val="item-name2"/>
    <w:basedOn w:val="10"/>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698</Words>
  <Characters>3983</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2019-09-10T04:13:00Z</dcterms:created>
  <dc:creator>Administrator</dc:creator>
  <cp:lastModifiedBy>WPS_1656554449</cp:lastModifiedBy>
  <cp:lastPrinted>2019-09-09T01:05:00Z</cp:lastPrinted>
  <dcterms:modified xsi:type="dcterms:W3CDTF">2024-01-04T00:57:08Z</dcterms:modified>
  <dc:title>崇明区关于进一步加强村级财务管理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4EEF388C79FB4684953BA43BD20DB3E8_12</vt:lpwstr>
  </property>
</Properties>
</file>