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sz w:val="32"/>
          <w:szCs w:val="32"/>
        </w:rPr>
      </w:pPr>
    </w:p>
    <w:p>
      <w:pPr>
        <w:spacing w:line="540" w:lineRule="exact"/>
        <w:rPr>
          <w:sz w:val="32"/>
          <w:szCs w:val="32"/>
        </w:rPr>
      </w:pPr>
    </w:p>
    <w:p>
      <w:pPr>
        <w:spacing w:line="540" w:lineRule="exact"/>
        <w:rPr>
          <w:sz w:val="32"/>
          <w:szCs w:val="32"/>
        </w:rPr>
      </w:pPr>
    </w:p>
    <w:p>
      <w:pPr>
        <w:spacing w:line="880" w:lineRule="exact"/>
        <w:jc w:val="distribute"/>
        <w:rPr>
          <w:rFonts w:ascii="方正小标宋简体" w:eastAsia="方正小标宋简体"/>
          <w:color w:val="FF0000"/>
          <w:spacing w:val="-11"/>
          <w:w w:val="75"/>
          <w:sz w:val="80"/>
          <w:szCs w:val="80"/>
        </w:rPr>
      </w:pPr>
      <w:r>
        <w:rPr>
          <w:rFonts w:hint="eastAsia" w:ascii="方正小标宋简体" w:eastAsia="方正小标宋简体"/>
          <w:color w:val="FF0000"/>
          <w:spacing w:val="-11"/>
          <w:w w:val="75"/>
          <w:sz w:val="80"/>
          <w:szCs w:val="80"/>
        </w:rPr>
        <w:t>上海市崇明区农业</w:t>
      </w:r>
      <w:r>
        <w:rPr>
          <w:rFonts w:hint="eastAsia" w:ascii="方正小标宋简体" w:eastAsia="方正小标宋简体"/>
          <w:color w:val="FF0000"/>
          <w:spacing w:val="-11"/>
          <w:w w:val="75"/>
          <w:sz w:val="80"/>
          <w:szCs w:val="80"/>
          <w:lang w:val="en-US" w:eastAsia="zh-CN"/>
        </w:rPr>
        <w:t>农村</w:t>
      </w:r>
      <w:r>
        <w:rPr>
          <w:rFonts w:hint="eastAsia" w:ascii="方正小标宋简体" w:eastAsia="方正小标宋简体"/>
          <w:color w:val="FF0000"/>
          <w:spacing w:val="-11"/>
          <w:w w:val="75"/>
          <w:sz w:val="80"/>
          <w:szCs w:val="80"/>
        </w:rPr>
        <w:t>委员会文件</w:t>
      </w:r>
    </w:p>
    <w:p>
      <w:pPr>
        <w:spacing w:line="560" w:lineRule="exact"/>
        <w:rPr>
          <w:szCs w:val="21"/>
        </w:rPr>
      </w:pPr>
    </w:p>
    <w:p>
      <w:pPr>
        <w:spacing w:line="560" w:lineRule="exact"/>
        <w:rPr>
          <w:szCs w:val="21"/>
        </w:rPr>
      </w:pPr>
    </w:p>
    <w:p>
      <w:pPr>
        <w:spacing w:line="560" w:lineRule="exact"/>
        <w:jc w:val="center"/>
        <w:rPr>
          <w:rFonts w:hint="eastAsia" w:ascii="楷体_GB2312" w:eastAsia="仿宋_GB2312"/>
          <w:sz w:val="32"/>
          <w:lang w:val="en-US" w:eastAsia="zh-CN"/>
        </w:rPr>
      </w:pPr>
      <w:r>
        <w:rPr>
          <w:rFonts w:hint="eastAsia" w:ascii="仿宋_GB2312" w:eastAsia="仿宋_GB2312"/>
          <w:sz w:val="32"/>
        </w:rPr>
        <w:t>沪崇农发〔20</w:t>
      </w:r>
      <w:r>
        <w:rPr>
          <w:rFonts w:hint="eastAsia" w:ascii="仿宋_GB2312" w:eastAsia="仿宋_GB2312"/>
          <w:sz w:val="32"/>
          <w:lang w:val="en-US" w:eastAsia="zh-CN"/>
        </w:rPr>
        <w:t>23</w:t>
      </w:r>
      <w:r>
        <w:rPr>
          <w:rFonts w:hint="eastAsia" w:ascii="仿宋_GB2312" w:eastAsia="仿宋_GB2312"/>
          <w:sz w:val="32"/>
        </w:rPr>
        <w:t>〕</w:t>
      </w:r>
      <w:r>
        <w:rPr>
          <w:rFonts w:hint="eastAsia" w:ascii="仿宋_GB2312" w:eastAsia="仿宋_GB2312"/>
          <w:sz w:val="32"/>
          <w:lang w:val="en-US" w:eastAsia="zh-CN"/>
        </w:rPr>
        <w:t>8</w:t>
      </w:r>
      <w:r>
        <w:rPr>
          <w:rFonts w:hint="eastAsia" w:ascii="仿宋_GB2312" w:eastAsia="仿宋_GB2312"/>
          <w:sz w:val="32"/>
        </w:rPr>
        <w:t>号</w:t>
      </w:r>
    </w:p>
    <w:p>
      <w:pPr>
        <w:spacing w:line="160" w:lineRule="exact"/>
        <w:rPr>
          <w:color w:val="FF0000"/>
          <w:szCs w:val="21"/>
          <w:u w:val="thick"/>
        </w:rPr>
      </w:pPr>
      <w:r>
        <w:rPr>
          <w:rFonts w:hint="eastAsia"/>
          <w:color w:val="FF0000"/>
          <w:szCs w:val="21"/>
          <w:u w:val="thick"/>
        </w:rPr>
        <w:t xml:space="preserve">                                                                                       </w:t>
      </w:r>
    </w:p>
    <w:p>
      <w:pPr>
        <w:pageBreakBefore w:val="0"/>
        <w:widowControl w:val="0"/>
        <w:kinsoku/>
        <w:wordWrap/>
        <w:overflowPunct/>
        <w:topLinePunct w:val="0"/>
        <w:autoSpaceDE/>
        <w:autoSpaceDN/>
        <w:bidi w:val="0"/>
        <w:adjustRightInd/>
        <w:snapToGrid/>
        <w:spacing w:line="560" w:lineRule="exact"/>
        <w:textAlignment w:val="auto"/>
        <w:rPr>
          <w:rFonts w:hint="eastAsia" w:ascii="仿宋_GB2312" w:hAnsi="Times New Roman" w:eastAsia="仿宋_GB2312" w:cs="Times New Roman"/>
          <w:sz w:val="32"/>
          <w:szCs w:val="32"/>
        </w:rPr>
      </w:pPr>
    </w:p>
    <w:p>
      <w:pPr>
        <w:pageBreakBefore w:val="0"/>
        <w:widowControl w:val="0"/>
        <w:kinsoku/>
        <w:wordWrap/>
        <w:overflowPunct/>
        <w:topLinePunct w:val="0"/>
        <w:autoSpaceDE/>
        <w:autoSpaceDN/>
        <w:bidi w:val="0"/>
        <w:adjustRightInd/>
        <w:snapToGrid/>
        <w:spacing w:line="560" w:lineRule="exact"/>
        <w:textAlignment w:val="auto"/>
        <w:rPr>
          <w:rFonts w:hint="eastAsia" w:ascii="仿宋_GB2312"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pacing w:before="156" w:beforeLines="50" w:line="560" w:lineRule="exact"/>
        <w:jc w:val="center"/>
        <w:textAlignment w:val="auto"/>
        <w:outlineLvl w:val="9"/>
        <w:rPr>
          <w:rFonts w:ascii="方正小标宋简体" w:hAnsi="方正小标宋简体" w:eastAsia="方正小标宋简体" w:cs="方正小标宋简体"/>
          <w:w w:val="90"/>
          <w:sz w:val="44"/>
          <w:szCs w:val="44"/>
        </w:rPr>
      </w:pPr>
      <w:r>
        <w:rPr>
          <w:rFonts w:hint="eastAsia" w:ascii="方正小标宋简体" w:hAnsi="方正小标宋简体" w:eastAsia="方正小标宋简体" w:cs="方正小标宋简体"/>
          <w:w w:val="90"/>
          <w:sz w:val="44"/>
          <w:szCs w:val="44"/>
        </w:rPr>
        <w:t>关于印发《崇明区</w:t>
      </w:r>
      <w:r>
        <w:rPr>
          <w:rFonts w:hint="eastAsia" w:ascii="方正小标宋简体" w:hAnsi="方正小标宋简体" w:eastAsia="方正小标宋简体" w:cs="方正小标宋简体"/>
          <w:w w:val="90"/>
          <w:sz w:val="44"/>
          <w:szCs w:val="44"/>
          <w:lang w:val="en-US" w:eastAsia="zh-CN"/>
        </w:rPr>
        <w:t>2023年</w:t>
      </w:r>
      <w:r>
        <w:rPr>
          <w:rFonts w:hint="eastAsia" w:ascii="方正小标宋简体" w:hAnsi="方正小标宋简体" w:eastAsia="方正小标宋简体" w:cs="方正小标宋简体"/>
          <w:w w:val="90"/>
          <w:sz w:val="44"/>
          <w:szCs w:val="44"/>
        </w:rPr>
        <w:t>生猪产能调控工作方案》的通知</w:t>
      </w:r>
    </w:p>
    <w:p>
      <w:pPr>
        <w:keepNext w:val="0"/>
        <w:keepLines w:val="0"/>
        <w:pageBreakBefore w:val="0"/>
        <w:widowControl w:val="0"/>
        <w:kinsoku/>
        <w:wordWrap/>
        <w:overflowPunct/>
        <w:topLinePunct w:val="0"/>
        <w:autoSpaceDE/>
        <w:autoSpaceDN/>
        <w:bidi w:val="0"/>
        <w:adjustRightInd/>
        <w:spacing w:line="560" w:lineRule="exact"/>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pacing w:line="560" w:lineRule="exact"/>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各有关乡镇人民政府，有关单位:</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根据《关于印发&lt;上海市生猪产能调控实施方案&gt;的通知》（沪农委〔2021〕356号）</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color w:val="auto"/>
          <w:sz w:val="32"/>
          <w:szCs w:val="32"/>
        </w:rPr>
        <w:t>《关于印发上海市“菜篮子”区长负责制考核办法实施细则的通知》（沪菜篮子办〔2022〕3号）</w:t>
      </w:r>
      <w:r>
        <w:rPr>
          <w:rFonts w:hint="eastAsia" w:ascii="仿宋_GB2312" w:hAnsi="仿宋_GB2312" w:eastAsia="仿宋_GB2312" w:cs="仿宋_GB2312"/>
          <w:sz w:val="32"/>
          <w:szCs w:val="32"/>
        </w:rPr>
        <w:t>文件精神，结合本区生猪生产实际，制定《崇明区</w:t>
      </w:r>
      <w:r>
        <w:rPr>
          <w:rFonts w:hint="eastAsia" w:ascii="仿宋_GB2312" w:hAnsi="仿宋_GB2312" w:eastAsia="仿宋_GB2312" w:cs="仿宋_GB2312"/>
          <w:sz w:val="32"/>
          <w:szCs w:val="32"/>
          <w:lang w:val="en-US" w:eastAsia="zh-CN"/>
        </w:rPr>
        <w:t>2023年度</w:t>
      </w:r>
      <w:r>
        <w:rPr>
          <w:rFonts w:hint="eastAsia" w:ascii="仿宋_GB2312" w:hAnsi="仿宋_GB2312" w:eastAsia="仿宋_GB2312" w:cs="仿宋_GB2312"/>
          <w:sz w:val="32"/>
          <w:szCs w:val="32"/>
        </w:rPr>
        <w:t>生猪产能调控工作方案》，现印发给你们，请认真组织落实。</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rPr>
        <w:t>崇明区</w:t>
      </w:r>
      <w:r>
        <w:rPr>
          <w:rFonts w:hint="eastAsia" w:ascii="仿宋_GB2312" w:hAnsi="仿宋_GB2312" w:eastAsia="仿宋_GB2312" w:cs="仿宋_GB2312"/>
          <w:sz w:val="32"/>
          <w:szCs w:val="32"/>
          <w:lang w:val="en-US" w:eastAsia="zh-CN"/>
        </w:rPr>
        <w:t>2023年度</w:t>
      </w:r>
      <w:r>
        <w:rPr>
          <w:rFonts w:hint="eastAsia" w:ascii="仿宋_GB2312" w:hAnsi="仿宋_GB2312" w:eastAsia="仿宋_GB2312" w:cs="仿宋_GB2312"/>
          <w:sz w:val="32"/>
          <w:szCs w:val="32"/>
        </w:rPr>
        <w:t>生猪产能调控工作方案</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pacing w:line="560" w:lineRule="exact"/>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pacing w:line="560" w:lineRule="exact"/>
        <w:ind w:firstLine="2560" w:firstLineChars="8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上海市崇明区恢复生猪生产协调办公室</w:t>
      </w:r>
    </w:p>
    <w:p>
      <w:pPr>
        <w:keepNext w:val="0"/>
        <w:keepLines w:val="0"/>
        <w:pageBreakBefore w:val="0"/>
        <w:widowControl w:val="0"/>
        <w:kinsoku/>
        <w:wordWrap/>
        <w:overflowPunct/>
        <w:topLinePunct w:val="0"/>
        <w:autoSpaceDE/>
        <w:autoSpaceDN/>
        <w:bidi w:val="0"/>
        <w:adjustRightInd/>
        <w:spacing w:line="560" w:lineRule="exact"/>
        <w:ind w:firstLine="2880" w:firstLineChars="9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上海市崇明区农业农村委员会(代章)</w:t>
      </w:r>
    </w:p>
    <w:p>
      <w:pPr>
        <w:keepNext w:val="0"/>
        <w:keepLines w:val="0"/>
        <w:pageBreakBefore w:val="0"/>
        <w:widowControl w:val="0"/>
        <w:kinsoku/>
        <w:wordWrap/>
        <w:overflowPunct/>
        <w:topLinePunct w:val="0"/>
        <w:autoSpaceDE/>
        <w:autoSpaceDN/>
        <w:bidi w:val="0"/>
        <w:adjustRightInd/>
        <w:spacing w:line="560" w:lineRule="exact"/>
        <w:ind w:firstLine="4160" w:firstLineChars="13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2023年</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日</w:t>
      </w:r>
    </w:p>
    <w:p>
      <w:pPr>
        <w:pStyle w:val="2"/>
        <w:keepNext w:val="0"/>
        <w:keepLines w:val="0"/>
        <w:pageBreakBefore w:val="0"/>
        <w:widowControl w:val="0"/>
        <w:kinsoku/>
        <w:wordWrap/>
        <w:overflowPunct/>
        <w:topLinePunct w:val="0"/>
        <w:autoSpaceDE/>
        <w:autoSpaceDN/>
        <w:bidi w:val="0"/>
        <w:adjustRightInd/>
        <w:spacing w:line="560" w:lineRule="exact"/>
        <w:textAlignment w:val="auto"/>
        <w:outlineLvl w:val="9"/>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pacing w:line="560" w:lineRule="exact"/>
        <w:textAlignment w:val="auto"/>
        <w:outlineLvl w:val="9"/>
      </w:pPr>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Pr>
        <w:pStyle w:val="2"/>
      </w:pPr>
    </w:p>
    <w:tbl>
      <w:tblPr>
        <w:tblStyle w:val="7"/>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Borders>
              <w:top w:val="single" w:color="auto" w:sz="12" w:space="0"/>
              <w:left w:val="nil"/>
              <w:bottom w:val="single" w:color="auto" w:sz="2" w:space="0"/>
              <w:right w:val="nil"/>
            </w:tcBorders>
          </w:tcPr>
          <w:p>
            <w:pPr>
              <w:spacing w:line="400" w:lineRule="exact"/>
              <w:ind w:right="28" w:firstLine="280" w:firstLineChars="100"/>
              <w:rPr>
                <w:rFonts w:ascii="仿宋_GB2312" w:eastAsia="仿宋_GB2312"/>
                <w:sz w:val="28"/>
                <w:szCs w:val="28"/>
              </w:rPr>
            </w:pPr>
            <w:r>
              <w:rPr>
                <w:rFonts w:hint="eastAsia" w:ascii="仿宋_GB2312" w:eastAsia="仿宋_GB2312"/>
                <w:sz w:val="28"/>
                <w:szCs w:val="28"/>
              </w:rPr>
              <w:t>抄送：区发展改革委，区规划资源局，区财政局，区生态环境局，区</w:t>
            </w:r>
          </w:p>
          <w:p>
            <w:pPr>
              <w:spacing w:line="400" w:lineRule="exact"/>
              <w:ind w:right="28" w:firstLine="1120" w:firstLineChars="400"/>
              <w:rPr>
                <w:rFonts w:ascii="仿宋_GB2312" w:eastAsia="仿宋_GB2312"/>
                <w:sz w:val="32"/>
                <w:szCs w:val="32"/>
              </w:rPr>
            </w:pPr>
            <w:r>
              <w:rPr>
                <w:rFonts w:hint="eastAsia" w:ascii="仿宋_GB2312" w:eastAsia="仿宋_GB2312"/>
                <w:sz w:val="28"/>
                <w:szCs w:val="28"/>
              </w:rPr>
              <w:t>市场监管局，区供销社。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Borders>
              <w:top w:val="single" w:color="auto" w:sz="2" w:space="0"/>
              <w:left w:val="nil"/>
              <w:bottom w:val="single" w:color="auto" w:sz="12" w:space="0"/>
              <w:right w:val="nil"/>
            </w:tcBorders>
          </w:tcPr>
          <w:p>
            <w:pPr>
              <w:spacing w:line="560" w:lineRule="exact"/>
              <w:ind w:right="28" w:firstLine="280" w:firstLineChars="100"/>
              <w:rPr>
                <w:rFonts w:ascii="仿宋_GB2312" w:eastAsia="仿宋_GB2312"/>
                <w:sz w:val="32"/>
                <w:szCs w:val="32"/>
              </w:rPr>
            </w:pPr>
            <w:r>
              <w:rPr>
                <w:rFonts w:hint="eastAsia" w:ascii="仿宋_GB2312" w:eastAsia="仿宋_GB2312"/>
                <w:sz w:val="28"/>
                <w:szCs w:val="28"/>
              </w:rPr>
              <w:t xml:space="preserve">上海市崇明区农业农村委员会办公室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202</w:t>
            </w:r>
            <w:r>
              <w:rPr>
                <w:rFonts w:hint="eastAsia" w:ascii="仿宋_GB2312" w:eastAsia="仿宋_GB2312"/>
                <w:sz w:val="28"/>
                <w:szCs w:val="28"/>
                <w:lang w:val="en-US" w:eastAsia="zh-CN"/>
              </w:rPr>
              <w:t>3</w:t>
            </w:r>
            <w:r>
              <w:rPr>
                <w:rFonts w:hint="eastAsia" w:ascii="仿宋_GB2312" w:eastAsia="仿宋_GB2312"/>
                <w:sz w:val="28"/>
                <w:szCs w:val="28"/>
              </w:rPr>
              <w:t>年0</w:t>
            </w:r>
            <w:r>
              <w:rPr>
                <w:rFonts w:hint="eastAsia" w:ascii="仿宋_GB2312" w:eastAsia="仿宋_GB2312"/>
                <w:sz w:val="28"/>
                <w:szCs w:val="28"/>
                <w:lang w:val="en-US" w:eastAsia="zh-CN"/>
              </w:rPr>
              <w:t>2</w:t>
            </w:r>
            <w:r>
              <w:rPr>
                <w:rFonts w:hint="eastAsia" w:ascii="仿宋_GB2312" w:eastAsia="仿宋_GB2312"/>
                <w:sz w:val="28"/>
                <w:szCs w:val="28"/>
              </w:rPr>
              <w:t>月</w:t>
            </w:r>
            <w:r>
              <w:rPr>
                <w:rFonts w:hint="eastAsia" w:ascii="仿宋_GB2312" w:eastAsia="仿宋_GB2312"/>
                <w:sz w:val="28"/>
                <w:szCs w:val="28"/>
                <w:lang w:val="en-US" w:eastAsia="zh-CN"/>
              </w:rPr>
              <w:t>10</w:t>
            </w:r>
            <w:bookmarkStart w:id="0" w:name="_GoBack"/>
            <w:bookmarkEnd w:id="0"/>
            <w:r>
              <w:rPr>
                <w:rFonts w:hint="eastAsia" w:ascii="仿宋_GB2312" w:eastAsia="仿宋_GB2312"/>
                <w:sz w:val="28"/>
                <w:szCs w:val="28"/>
              </w:rPr>
              <w:t>日印发</w:t>
            </w:r>
          </w:p>
        </w:tc>
      </w:tr>
    </w:tbl>
    <w:p/>
    <w:p>
      <w:pPr>
        <w:pStyle w:val="2"/>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崇明区</w:t>
      </w:r>
      <w:r>
        <w:rPr>
          <w:rFonts w:hint="eastAsia" w:ascii="方正小标宋简体" w:hAnsi="方正小标宋简体" w:eastAsia="方正小标宋简体" w:cs="方正小标宋简体"/>
          <w:sz w:val="44"/>
          <w:szCs w:val="44"/>
          <w:lang w:val="en-US" w:eastAsia="zh-CN"/>
        </w:rPr>
        <w:t>2023年</w:t>
      </w:r>
      <w:r>
        <w:rPr>
          <w:rFonts w:hint="eastAsia" w:ascii="方正小标宋简体" w:hAnsi="方正小标宋简体" w:eastAsia="方正小标宋简体" w:cs="方正小标宋简体"/>
          <w:sz w:val="44"/>
          <w:szCs w:val="44"/>
        </w:rPr>
        <w:t>生猪产能调控工作方案</w:t>
      </w:r>
    </w:p>
    <w:p>
      <w:pPr>
        <w:keepNext w:val="0"/>
        <w:keepLines w:val="0"/>
        <w:pageBreakBefore w:val="0"/>
        <w:widowControl w:val="0"/>
        <w:kinsoku/>
        <w:wordWrap/>
        <w:overflowPunct/>
        <w:topLinePunct w:val="0"/>
        <w:autoSpaceDE/>
        <w:autoSpaceDN/>
        <w:bidi w:val="0"/>
        <w:adjustRightInd/>
        <w:spacing w:line="560" w:lineRule="exact"/>
        <w:jc w:val="center"/>
        <w:textAlignment w:val="auto"/>
        <w:outlineLvl w:val="9"/>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生猪稳产保供是上海市乡村振兴考核任务的重点工作之一，并纳入市“菜篮子工程”区长负责制考核。为确保完成考核任务，进一步</w:t>
      </w:r>
      <w:r>
        <w:rPr>
          <w:rFonts w:hint="eastAsia" w:ascii="仿宋_GB2312" w:hAnsi="仿宋_GB2312" w:eastAsia="仿宋_GB2312" w:cs="仿宋_GB2312"/>
          <w:color w:val="auto"/>
          <w:sz w:val="32"/>
          <w:szCs w:val="32"/>
        </w:rPr>
        <w:t>稳固本区生猪基础生产能力，促进生猪产业持续健康发展，</w:t>
      </w:r>
      <w:r>
        <w:rPr>
          <w:rFonts w:hint="eastAsia" w:ascii="仿宋_GB2312" w:hAnsi="仿宋_GB2312" w:eastAsia="仿宋_GB2312" w:cs="仿宋_GB2312"/>
          <w:color w:val="auto"/>
          <w:sz w:val="32"/>
          <w:szCs w:val="32"/>
          <w:lang w:val="en-US" w:eastAsia="zh-CN"/>
        </w:rPr>
        <w:t>现</w:t>
      </w:r>
      <w:r>
        <w:rPr>
          <w:rFonts w:hint="eastAsia" w:ascii="仿宋_GB2312" w:hAnsi="仿宋_GB2312" w:eastAsia="仿宋_GB2312" w:cs="仿宋_GB2312"/>
          <w:color w:val="auto"/>
          <w:sz w:val="32"/>
          <w:szCs w:val="32"/>
        </w:rPr>
        <w:t>根据《关于印发&lt;上海市生猪产能调控实施方案&gt;的通知》（沪农委〔2021〕356号）</w:t>
      </w:r>
      <w:r>
        <w:rPr>
          <w:rFonts w:hint="eastAsia" w:ascii="仿宋_GB2312" w:hAnsi="仿宋_GB2312" w:eastAsia="仿宋_GB2312" w:cs="仿宋_GB2312"/>
          <w:color w:val="auto"/>
          <w:sz w:val="32"/>
          <w:szCs w:val="32"/>
          <w:lang w:val="en-US" w:eastAsia="zh-CN"/>
        </w:rPr>
        <w:t>和</w:t>
      </w:r>
      <w:r>
        <w:rPr>
          <w:rFonts w:hint="eastAsia" w:ascii="仿宋_GB2312" w:hAnsi="仿宋_GB2312" w:eastAsia="仿宋_GB2312" w:cs="仿宋_GB2312"/>
          <w:color w:val="auto"/>
          <w:sz w:val="32"/>
          <w:szCs w:val="32"/>
        </w:rPr>
        <w:t>《关于印发上海市“菜篮子”区长负责制考核办法实施细则的通知》（沪菜篮子办〔2022〕3号）文件精神，结合本区生产实际，特制定</w:t>
      </w:r>
      <w:r>
        <w:rPr>
          <w:rFonts w:hint="eastAsia" w:ascii="仿宋_GB2312" w:hAnsi="仿宋_GB2312" w:eastAsia="仿宋_GB2312" w:cs="仿宋_GB2312"/>
          <w:color w:val="auto"/>
          <w:sz w:val="32"/>
          <w:szCs w:val="32"/>
          <w:lang w:val="en-US" w:eastAsia="zh-CN"/>
        </w:rPr>
        <w:t>本工作</w:t>
      </w:r>
      <w:r>
        <w:rPr>
          <w:rFonts w:hint="eastAsia" w:ascii="仿宋_GB2312" w:hAnsi="仿宋_GB2312" w:eastAsia="仿宋_GB2312" w:cs="仿宋_GB2312"/>
          <w:color w:val="auto"/>
          <w:sz w:val="32"/>
          <w:szCs w:val="32"/>
        </w:rPr>
        <w:t>方案。</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黑体" w:cs="仿宋_GB2312"/>
          <w:sz w:val="32"/>
          <w:szCs w:val="32"/>
        </w:rPr>
      </w:pPr>
      <w:r>
        <w:rPr>
          <w:rFonts w:hint="eastAsia" w:ascii="黑体" w:hAnsi="黑体" w:eastAsia="黑体" w:cs="黑体"/>
          <w:sz w:val="32"/>
          <w:szCs w:val="32"/>
        </w:rPr>
        <w:t>一、目标任务</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严控非洲猪瘟等重大动物疫病；加快推进新建、改扩建猪场项目早日竣工投产；积极落实生猪稳产保供措施，加强生猪产能调控引导，保持能繁母猪存栏量相对稳定，努力完成市下达考核指标任务，确保全区能繁母猪月度正常保有量不低于1.8万头。</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sz w:val="32"/>
          <w:szCs w:val="32"/>
        </w:rPr>
      </w:pPr>
      <w:r>
        <w:rPr>
          <w:rFonts w:hint="eastAsia" w:ascii="黑体" w:hAnsi="黑体" w:eastAsia="黑体" w:cs="黑体"/>
          <w:sz w:val="32"/>
          <w:szCs w:val="32"/>
        </w:rPr>
        <w:t>二、工作措施</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（一）分解生产任务</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根据市下达的指标任务，以现有生产猪场2022年生猪存栏量为基础，结合各场生产实际，进一步细化分解目标任务，确定各场2023年月度能繁母猪正常保有量任务和年度生猪屠宰上市量</w:t>
      </w:r>
      <w:r>
        <w:rPr>
          <w:rFonts w:hint="eastAsia" w:ascii="仿宋_GB2312" w:hAnsi="仿宋_GB2312" w:eastAsia="仿宋_GB2312" w:cs="仿宋_GB2312"/>
          <w:color w:val="auto"/>
          <w:sz w:val="32"/>
          <w:szCs w:val="32"/>
          <w:lang w:val="en-US" w:eastAsia="zh-CN"/>
        </w:rPr>
        <w:t>计划</w:t>
      </w:r>
      <w:r>
        <w:rPr>
          <w:rFonts w:hint="eastAsia" w:ascii="仿宋_GB2312" w:hAnsi="仿宋_GB2312" w:eastAsia="仿宋_GB2312" w:cs="仿宋_GB2312"/>
          <w:color w:val="auto"/>
          <w:sz w:val="32"/>
          <w:szCs w:val="32"/>
        </w:rPr>
        <w:t>，任务清单详见附表。</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（二）压实属地责任</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color w:val="auto"/>
          <w:sz w:val="32"/>
          <w:szCs w:val="32"/>
        </w:rPr>
      </w:pPr>
      <w:r>
        <w:rPr>
          <w:rFonts w:hint="eastAsia" w:ascii="仿宋_GB2312" w:hAnsi="仿宋_GB2312" w:eastAsia="仿宋_GB2312" w:cs="仿宋_GB2312"/>
          <w:sz w:val="32"/>
          <w:szCs w:val="32"/>
        </w:rPr>
        <w:t>落实乡镇行政首长负责制，加强领导，明确职责，按照区下达的指标任务，制定辖区内全年生猪产能调控工作计划，任务细化到场，责任细化到人，全力以赴确保完成每月能繁母猪存栏</w:t>
      </w:r>
      <w:r>
        <w:rPr>
          <w:rFonts w:hint="eastAsia" w:ascii="仿宋_GB2312" w:hAnsi="仿宋_GB2312" w:eastAsia="仿宋_GB2312" w:cs="仿宋_GB2312"/>
          <w:sz w:val="32"/>
          <w:szCs w:val="32"/>
          <w:lang w:val="en-US" w:eastAsia="zh-CN"/>
        </w:rPr>
        <w:t>指标任务</w:t>
      </w:r>
      <w:r>
        <w:rPr>
          <w:rFonts w:hint="eastAsia" w:ascii="仿宋_GB2312" w:hAnsi="仿宋_GB2312" w:eastAsia="仿宋_GB2312" w:cs="仿宋_GB2312"/>
          <w:sz w:val="32"/>
          <w:szCs w:val="32"/>
        </w:rPr>
        <w:t>；加强对辖区内养猪场的监管，准确掌握养猪场的生产状况，支持老旧养猪场提升基础设施，建立洗消中心，完善消毒清洗等设备，严格落实防疫消毒等各项措施，督促养殖场加强车辆、饲料、人员等进出管理，严防外源性疫病输入；</w:t>
      </w:r>
      <w:r>
        <w:rPr>
          <w:rFonts w:hint="eastAsia" w:ascii="仿宋_GB2312" w:hAnsi="仿宋_GB2312" w:eastAsia="仿宋_GB2312" w:cs="仿宋_GB2312"/>
          <w:color w:val="auto"/>
          <w:sz w:val="32"/>
          <w:szCs w:val="32"/>
        </w:rPr>
        <w:t>加快华腾、明昕新建猪场项目的竣工投产</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尽快发挥项目效应。</w:t>
      </w:r>
    </w:p>
    <w:p>
      <w:pPr>
        <w:pStyle w:val="2"/>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（三）抓好疫病防控</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auto"/>
          <w:sz w:val="32"/>
          <w:szCs w:val="32"/>
        </w:rPr>
        <w:t>持续开展面上不规范养殖排查，实行疫情排查工作组制度、</w:t>
      </w:r>
      <w:r>
        <w:rPr>
          <w:rFonts w:hint="eastAsia" w:ascii="仿宋_GB2312" w:hAnsi="仿宋_GB2312" w:eastAsia="仿宋_GB2312" w:cs="仿宋_GB2312"/>
          <w:sz w:val="32"/>
          <w:szCs w:val="32"/>
        </w:rPr>
        <w:t>月报制度，抓好不规范养殖长效管理，杜绝不规范养殖反弹；开展生猪养殖场视频全覆盖检查，督促养殖场规范守法生产经营；强化指导养殖场自我封闭式管理，认真做好猪场清洗消毒中心和中转站点建设，抓好饲养消毒运输等关键环节；</w:t>
      </w:r>
      <w:r>
        <w:rPr>
          <w:rFonts w:hint="eastAsia" w:ascii="仿宋_GB2312" w:hAnsi="仿宋_GB2312" w:eastAsia="仿宋_GB2312" w:cs="仿宋_GB2312"/>
          <w:sz w:val="32"/>
          <w:szCs w:val="32"/>
          <w:lang w:val="en-US" w:eastAsia="zh-CN"/>
        </w:rPr>
        <w:t>积极推进无疫养殖场创建、</w:t>
      </w:r>
      <w:r>
        <w:rPr>
          <w:rFonts w:hint="eastAsia" w:ascii="仿宋_GB2312" w:hAnsi="仿宋_GB2312" w:eastAsia="仿宋_GB2312" w:cs="仿宋_GB2312"/>
          <w:bCs/>
          <w:color w:val="auto"/>
          <w:kern w:val="0"/>
          <w:sz w:val="32"/>
          <w:szCs w:val="32"/>
        </w:rPr>
        <w:t>美丽牧场示范创建、动物疫病净化场创建</w:t>
      </w:r>
      <w:r>
        <w:rPr>
          <w:rFonts w:hint="eastAsia" w:ascii="仿宋_GB2312" w:hAnsi="仿宋_GB2312" w:eastAsia="仿宋_GB2312" w:cs="仿宋_GB2312"/>
          <w:bCs/>
          <w:color w:val="auto"/>
          <w:kern w:val="0"/>
          <w:sz w:val="32"/>
          <w:szCs w:val="32"/>
          <w:lang w:val="en-US" w:eastAsia="zh-CN"/>
        </w:rPr>
        <w:t>等工作，同时</w:t>
      </w:r>
      <w:r>
        <w:rPr>
          <w:rFonts w:hint="eastAsia" w:ascii="仿宋_GB2312" w:hAnsi="仿宋_GB2312" w:eastAsia="仿宋_GB2312" w:cs="仿宋_GB2312"/>
          <w:sz w:val="32"/>
          <w:szCs w:val="32"/>
        </w:rPr>
        <w:t>抓好非洲猪瘟、口蹄疫、高致病性猪蓝耳病等重点猪病的常态化防控，切实落实各项有效防控措施，控制传染源，切断传播途径，将疫病风险降到最低</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（四）做好产能监测</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仿宋_GB2312" w:hAnsi="仿宋_GB2312" w:eastAsia="仿宋_GB2312" w:cs="仿宋_GB2312"/>
          <w:sz w:val="32"/>
          <w:szCs w:val="32"/>
        </w:rPr>
        <w:t>为进一步强化本区生猪产能监测，及时、准确掌握养猪场生产和供应情况，各乡镇（单位）要督促指导规模场根据信息直报相关工作要求，登录“上海畜牧业管理系统”或“沪牧通”小程序，及时、准确、完整地填报相关生产数据，各乡镇（单位）应同步做好填报信息核实等相关工作，确保上报数据的及时性、精准性。</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（五）加强产能调控</w:t>
      </w:r>
    </w:p>
    <w:p>
      <w:pPr>
        <w:pStyle w:val="2"/>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生猪产能调控要求，分区间采取相应调控措施，保持能繁母猪合理存栏水平。能繁母猪存栏量变动分为绿色、黄色和红色3个区域，绿色区域指能繁母猪月度存栏处于正常保有量的95%-105%区间，属于正常波动范围；黄色区域指能繁母猪月度存栏处于正常保有量的90%-95%和105%-110%区间，属于大幅波动范围；红色区域指能繁母猪月度存栏低于正常保有量的90%或高于正常保有量110%，属于过度波动范围。对于能繁母猪处于绿色区域时，不需要启动调控措施；对于能繁母猪处于黄色区域时时，各养殖场应启动减缓淘汰能繁母猪、增加补栏/加快淘汰低产母猪、延迟补栏等措施，促使能繁母猪存栏量回归到正常区间；对于能繁母猪处于红色区域时，各养殖场应增加能繁母猪饲养/加快淘汰低产母猪，促使能繁母猪存栏量回归到正常区间。</w:t>
      </w:r>
    </w:p>
    <w:p>
      <w:pPr>
        <w:keepNext w:val="0"/>
        <w:keepLines w:val="0"/>
        <w:pageBreakBefore w:val="0"/>
        <w:widowControl w:val="0"/>
        <w:numPr>
          <w:ilvl w:val="0"/>
          <w:numId w:val="1"/>
        </w:numPr>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加强流通环节监管</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区域生猪产地检疫管理，支持东部区域跨大区“点对点”调运备案管理工作，严控种猪、仔猪调运;严格执行生猪运输车辆备案制度，对备案车辆实施动态管理，发现涉嫌违法违规调运的，立即取消备案，并依法追究相关人员和单位责任;强化道口监督执法，持续开展生猪违规调运专项整治;加强市场白条肉的监管，严格查证验物，加大监测力度，防止非法肉品流入本区，坚决打击违规开证、私屠滥宰、饲喂泔水等违法违规行为;屠宰企业加强与养殖企业的深度对接，建立利益平衡机制，实现本地生猪就地就近屠宰，减少外来白条肉和运输车辆进崇的频次，降低外疫传入风险。</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sz w:val="32"/>
          <w:szCs w:val="32"/>
        </w:rPr>
      </w:pPr>
      <w:r>
        <w:rPr>
          <w:rFonts w:hint="eastAsia" w:ascii="黑体" w:hAnsi="黑体" w:eastAsia="黑体" w:cs="黑体"/>
          <w:sz w:val="32"/>
          <w:szCs w:val="32"/>
        </w:rPr>
        <w:t>三、工作保障</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（一）建立协调机制</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能繁母猪存栏量保持稳定关系到本区生猪基础生产能力和猪肉产品供应安全保障能力，是一项系统性工程，各职能部门要牢固树立“一盘棋”思想，全力以赴，保障各项工作正常推进。要充分发挥恢复生猪生产协调工作组专班等多部门联合会商、督查机制作用，形成工作合力，协调、督促解决推进中各类问题。</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楷体_GB2312" w:cs="仿宋_GB2312"/>
          <w:sz w:val="32"/>
          <w:szCs w:val="32"/>
        </w:rPr>
      </w:pPr>
      <w:r>
        <w:rPr>
          <w:rFonts w:hint="eastAsia" w:ascii="楷体_GB2312" w:hAnsi="楷体_GB2312" w:eastAsia="楷体_GB2312" w:cs="楷体_GB2312"/>
          <w:sz w:val="32"/>
          <w:szCs w:val="32"/>
        </w:rPr>
        <w:t>（二）落实政策保障</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根据相关文件要求，积极落实生猪、能繁母猪和仔猪保险政策；支持老旧猪场改扩建项目，落实区级财政配套资金，落实落细用地、环保政策，加快推进在建项目建设，尽快发挥项目效应。</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楷体_GB2312" w:hAnsi="楷体_GB2312" w:eastAsia="楷体_GB2312" w:cs="楷体_GB2312"/>
          <w:sz w:val="32"/>
          <w:szCs w:val="32"/>
        </w:rPr>
      </w:pPr>
      <w:r>
        <w:rPr>
          <w:rFonts w:hint="eastAsia" w:ascii="楷体_GB2312" w:hAnsi="楷体_GB2312" w:eastAsia="楷体_GB2312" w:cs="楷体_GB2312"/>
          <w:sz w:val="32"/>
          <w:szCs w:val="32"/>
        </w:rPr>
        <w:t>（三）强化督导考核</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各乡镇（单位）要确保能繁母猪存栏量不低于正常保有量。能繁母猪月度存栏情况列入对乡镇的绩效考核。若有关乡镇（单位）能繁母猪月度存栏量低于正常保有量的95%，将予以月度考核亮灯警示。</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ascii="仿宋_GB2312" w:hAnsi="仿宋_GB2312" w:eastAsia="仿宋_GB2312" w:cs="仿宋_GB2312"/>
          <w:sz w:val="32"/>
          <w:szCs w:val="32"/>
        </w:rPr>
      </w:pPr>
      <w:r>
        <w:rPr>
          <w:rFonts w:hint="eastAsia" w:ascii="楷体_GB2312" w:hAnsi="楷体_GB2312" w:eastAsia="楷体_GB2312" w:cs="楷体_GB2312"/>
          <w:sz w:val="32"/>
          <w:szCs w:val="32"/>
        </w:rPr>
        <w:t>（四）强化责任分工</w:t>
      </w:r>
    </w:p>
    <w:p>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outlineLvl w:val="9"/>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区农业农村委</w:t>
      </w:r>
      <w:r>
        <w:rPr>
          <w:rFonts w:hint="eastAsia" w:ascii="仿宋_GB2312" w:hAnsi="仿宋_GB2312" w:eastAsia="仿宋_GB2312" w:cs="仿宋_GB2312"/>
          <w:color w:val="auto"/>
          <w:sz w:val="32"/>
          <w:szCs w:val="32"/>
        </w:rPr>
        <w:t>牵头负责统筹协调全区生猪产能调控工作。</w:t>
      </w:r>
      <w:r>
        <w:rPr>
          <w:rFonts w:hint="eastAsia" w:ascii="仿宋_GB2312" w:hAnsi="仿宋_GB2312" w:eastAsia="仿宋_GB2312" w:cs="仿宋_GB2312"/>
          <w:b/>
          <w:bCs/>
          <w:color w:val="auto"/>
          <w:sz w:val="32"/>
          <w:szCs w:val="32"/>
        </w:rPr>
        <w:t>有关乡镇(单位)</w:t>
      </w:r>
      <w:r>
        <w:rPr>
          <w:rFonts w:hint="eastAsia" w:ascii="仿宋_GB2312" w:hAnsi="仿宋_GB2312" w:eastAsia="仿宋_GB2312" w:cs="仿宋_GB2312"/>
          <w:color w:val="auto"/>
          <w:sz w:val="32"/>
          <w:szCs w:val="32"/>
        </w:rPr>
        <w:t>落实属地管理责任，负责指导和督促现有规模场按照生产目标任务完成能繁母猪月度存栏量任务及年度生猪屠宰上市量</w:t>
      </w:r>
      <w:r>
        <w:rPr>
          <w:rFonts w:hint="eastAsia" w:ascii="仿宋_GB2312" w:hAnsi="仿宋_GB2312" w:eastAsia="仿宋_GB2312" w:cs="仿宋_GB2312"/>
          <w:color w:val="auto"/>
          <w:sz w:val="32"/>
          <w:szCs w:val="32"/>
          <w:lang w:val="en-US" w:eastAsia="zh-CN"/>
        </w:rPr>
        <w:t>计划</w:t>
      </w:r>
      <w:r>
        <w:rPr>
          <w:rFonts w:hint="eastAsia" w:ascii="仿宋_GB2312" w:hAnsi="仿宋_GB2312" w:eastAsia="仿宋_GB2312" w:cs="仿宋_GB2312"/>
          <w:color w:val="auto"/>
          <w:sz w:val="32"/>
          <w:szCs w:val="32"/>
        </w:rPr>
        <w:t>任务，落实猪场项目用地、洗消中心用地及生态循环配套农田等。</w:t>
      </w:r>
      <w:r>
        <w:rPr>
          <w:rFonts w:hint="eastAsia" w:ascii="仿宋_GB2312" w:hAnsi="仿宋_GB2312" w:eastAsia="仿宋_GB2312" w:cs="仿宋_GB2312"/>
          <w:b/>
          <w:bCs/>
          <w:color w:val="auto"/>
          <w:sz w:val="32"/>
          <w:szCs w:val="32"/>
        </w:rPr>
        <w:t>区发展改革委</w:t>
      </w:r>
      <w:r>
        <w:rPr>
          <w:rFonts w:hint="eastAsia" w:ascii="仿宋_GB2312" w:hAnsi="仿宋_GB2312" w:eastAsia="仿宋_GB2312" w:cs="仿宋_GB2312"/>
          <w:color w:val="auto"/>
          <w:sz w:val="32"/>
          <w:szCs w:val="32"/>
        </w:rPr>
        <w:t>协调好猪场项目供电配套等工作。</w:t>
      </w:r>
      <w:r>
        <w:rPr>
          <w:rFonts w:hint="eastAsia" w:ascii="仿宋_GB2312" w:hAnsi="仿宋_GB2312" w:eastAsia="仿宋_GB2312" w:cs="仿宋_GB2312"/>
          <w:b/>
          <w:bCs/>
          <w:color w:val="auto"/>
          <w:sz w:val="32"/>
          <w:szCs w:val="32"/>
        </w:rPr>
        <w:t>区规划资源局</w:t>
      </w:r>
      <w:r>
        <w:rPr>
          <w:rFonts w:hint="eastAsia" w:ascii="仿宋_GB2312" w:hAnsi="仿宋_GB2312" w:eastAsia="仿宋_GB2312" w:cs="仿宋_GB2312"/>
          <w:color w:val="auto"/>
          <w:sz w:val="32"/>
          <w:szCs w:val="32"/>
        </w:rPr>
        <w:t>加强做好猪场项目用地保障工作。</w:t>
      </w:r>
      <w:r>
        <w:rPr>
          <w:rFonts w:hint="eastAsia" w:ascii="仿宋_GB2312" w:hAnsi="仿宋_GB2312" w:eastAsia="仿宋_GB2312" w:cs="仿宋_GB2312"/>
          <w:b/>
          <w:bCs/>
          <w:color w:val="auto"/>
          <w:sz w:val="32"/>
          <w:szCs w:val="32"/>
        </w:rPr>
        <w:t>区财政局</w:t>
      </w:r>
      <w:r>
        <w:rPr>
          <w:rFonts w:hint="eastAsia" w:ascii="仿宋_GB2312" w:hAnsi="仿宋_GB2312" w:eastAsia="仿宋_GB2312" w:cs="仿宋_GB2312"/>
          <w:color w:val="auto"/>
          <w:sz w:val="32"/>
          <w:szCs w:val="32"/>
        </w:rPr>
        <w:t>做好区级配套资金保障工作。</w:t>
      </w:r>
      <w:r>
        <w:rPr>
          <w:rFonts w:hint="eastAsia" w:ascii="仿宋_GB2312" w:hAnsi="仿宋_GB2312" w:eastAsia="仿宋_GB2312" w:cs="仿宋_GB2312"/>
          <w:b/>
          <w:bCs/>
          <w:color w:val="auto"/>
          <w:sz w:val="32"/>
          <w:szCs w:val="32"/>
        </w:rPr>
        <w:t>区生态环境局</w:t>
      </w:r>
      <w:r>
        <w:rPr>
          <w:rFonts w:hint="eastAsia" w:ascii="仿宋_GB2312" w:hAnsi="仿宋_GB2312" w:eastAsia="仿宋_GB2312" w:cs="仿宋_GB2312"/>
          <w:color w:val="auto"/>
          <w:sz w:val="32"/>
          <w:szCs w:val="32"/>
        </w:rPr>
        <w:t>加强环评指导服务。</w:t>
      </w:r>
      <w:r>
        <w:rPr>
          <w:rFonts w:hint="eastAsia" w:ascii="仿宋_GB2312" w:hAnsi="仿宋_GB2312" w:eastAsia="仿宋_GB2312" w:cs="仿宋_GB2312"/>
          <w:b/>
          <w:bCs/>
          <w:color w:val="auto"/>
          <w:sz w:val="32"/>
          <w:szCs w:val="32"/>
        </w:rPr>
        <w:t>区市场监管局</w:t>
      </w:r>
      <w:r>
        <w:rPr>
          <w:rFonts w:hint="eastAsia" w:ascii="仿宋_GB2312" w:hAnsi="仿宋_GB2312" w:eastAsia="仿宋_GB2312" w:cs="仿宋_GB2312"/>
          <w:color w:val="auto"/>
          <w:sz w:val="32"/>
          <w:szCs w:val="32"/>
        </w:rPr>
        <w:t>加强流通领域白条肉监管。</w:t>
      </w:r>
      <w:r>
        <w:rPr>
          <w:rFonts w:hint="eastAsia" w:ascii="仿宋_GB2312" w:hAnsi="仿宋_GB2312" w:eastAsia="仿宋_GB2312" w:cs="仿宋_GB2312"/>
          <w:b/>
          <w:bCs/>
          <w:color w:val="auto"/>
          <w:sz w:val="32"/>
          <w:szCs w:val="32"/>
        </w:rPr>
        <w:t>区供销社</w:t>
      </w:r>
      <w:r>
        <w:rPr>
          <w:rFonts w:hint="eastAsia" w:ascii="仿宋_GB2312" w:hAnsi="仿宋_GB2312" w:eastAsia="仿宋_GB2312" w:cs="仿宋_GB2312"/>
          <w:color w:val="auto"/>
          <w:sz w:val="32"/>
          <w:szCs w:val="32"/>
        </w:rPr>
        <w:t>保障屠宰场稳定运行，确保本地生猪就地就近屠宰。</w:t>
      </w:r>
      <w:r>
        <w:rPr>
          <w:rFonts w:hint="eastAsia" w:ascii="仿宋_GB2312" w:hAnsi="仿宋_GB2312" w:eastAsia="仿宋_GB2312" w:cs="仿宋_GB2312"/>
          <w:b/>
          <w:bCs/>
          <w:color w:val="auto"/>
          <w:sz w:val="32"/>
          <w:szCs w:val="32"/>
        </w:rPr>
        <w:t>光明集团</w:t>
      </w:r>
      <w:r>
        <w:rPr>
          <w:rFonts w:hint="eastAsia" w:ascii="仿宋_GB2312" w:hAnsi="仿宋_GB2312" w:eastAsia="仿宋_GB2312" w:cs="仿宋_GB2312"/>
          <w:color w:val="auto"/>
          <w:sz w:val="32"/>
          <w:szCs w:val="32"/>
        </w:rPr>
        <w:t>采取切实有效措施，切实保障能繁母猪保持处于正常合理存栏水平，保障生猪屠宰上市量达年度计划量。</w:t>
      </w:r>
    </w:p>
    <w:p>
      <w:pPr>
        <w:pStyle w:val="2"/>
        <w:rPr>
          <w:rFonts w:ascii="仿宋_GB2312" w:hAnsi="仿宋_GB2312" w:eastAsia="仿宋_GB2312" w:cs="仿宋_GB2312"/>
          <w:color w:val="auto"/>
          <w:sz w:val="32"/>
          <w:szCs w:val="32"/>
        </w:rPr>
      </w:pPr>
    </w:p>
    <w:p>
      <w:pPr>
        <w:ind w:firstLine="640" w:firstLineChars="200"/>
        <w:jc w:val="both"/>
        <w:rPr>
          <w:rFonts w:ascii="黑体" w:hAnsi="黑体" w:eastAsia="黑体" w:cs="黑体"/>
          <w:sz w:val="32"/>
          <w:szCs w:val="32"/>
        </w:rPr>
      </w:pPr>
      <w:r>
        <w:rPr>
          <w:rFonts w:hint="eastAsia" w:ascii="仿宋_GB2312" w:hAnsi="仿宋_GB2312" w:eastAsia="仿宋_GB2312" w:cs="仿宋_GB2312"/>
          <w:color w:val="auto"/>
          <w:sz w:val="32"/>
          <w:szCs w:val="32"/>
          <w:lang w:eastAsia="zh-CN"/>
        </w:rPr>
        <w:t>附件：</w:t>
      </w:r>
      <w:r>
        <w:rPr>
          <w:rFonts w:hint="eastAsia" w:ascii="仿宋_GB2312" w:hAnsi="仿宋_GB2312" w:eastAsia="仿宋_GB2312" w:cs="仿宋_GB2312"/>
          <w:color w:val="auto"/>
          <w:sz w:val="32"/>
          <w:szCs w:val="32"/>
        </w:rPr>
        <w:t>2023年崇明区生猪稳产保供任务分解表</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outlineLvl w:val="9"/>
        <w:rPr>
          <w:rFonts w:hint="eastAsia" w:ascii="仿宋_GB2312" w:hAnsi="仿宋_GB2312" w:eastAsia="仿宋_GB2312" w:cs="仿宋_GB2312"/>
          <w:color w:val="auto"/>
          <w:sz w:val="32"/>
          <w:szCs w:val="32"/>
          <w:lang w:eastAsia="zh-CN"/>
        </w:rPr>
      </w:pPr>
    </w:p>
    <w:p>
      <w:pPr>
        <w:rPr>
          <w:rFonts w:ascii="仿宋_GB2312" w:hAnsi="仿宋_GB2312" w:eastAsia="仿宋_GB2312" w:cs="仿宋_GB2312"/>
          <w:sz w:val="32"/>
          <w:szCs w:val="32"/>
        </w:rPr>
      </w:pPr>
    </w:p>
    <w:p>
      <w:pPr>
        <w:pStyle w:val="2"/>
        <w:rPr>
          <w:rFonts w:ascii="仿宋_GB2312" w:hAnsi="仿宋_GB2312" w:eastAsia="仿宋_GB2312" w:cs="仿宋_GB2312"/>
          <w:sz w:val="32"/>
          <w:szCs w:val="32"/>
        </w:rPr>
      </w:pPr>
    </w:p>
    <w:p>
      <w:pPr>
        <w:rPr>
          <w:rFonts w:ascii="仿宋_GB2312" w:hAnsi="仿宋_GB2312" w:eastAsia="仿宋_GB2312" w:cs="仿宋_GB2312"/>
          <w:sz w:val="32"/>
          <w:szCs w:val="32"/>
        </w:rPr>
      </w:pPr>
    </w:p>
    <w:p>
      <w:pPr>
        <w:pStyle w:val="2"/>
        <w:rPr>
          <w:rFonts w:ascii="仿宋_GB2312" w:hAnsi="仿宋_GB2312" w:eastAsia="仿宋_GB2312" w:cs="仿宋_GB2312"/>
          <w:sz w:val="32"/>
          <w:szCs w:val="32"/>
        </w:rPr>
      </w:pPr>
    </w:p>
    <w:p>
      <w:pPr>
        <w:widowControl/>
        <w:jc w:val="left"/>
        <w:rPr>
          <w:rFonts w:ascii="仿宋_GB2312" w:hAnsi="仿宋_GB2312" w:eastAsia="仿宋_GB2312" w:cs="仿宋_GB2312"/>
          <w:sz w:val="32"/>
          <w:szCs w:val="32"/>
        </w:rPr>
      </w:pPr>
      <w:r>
        <w:rPr>
          <w:rFonts w:ascii="仿宋_GB2312" w:hAnsi="仿宋_GB2312" w:eastAsia="仿宋_GB2312" w:cs="仿宋_GB2312"/>
          <w:sz w:val="32"/>
          <w:szCs w:val="32"/>
        </w:rPr>
        <w:br w:type="page"/>
      </w:r>
    </w:p>
    <w:p>
      <w:pPr>
        <w:jc w:val="left"/>
        <w:rPr>
          <w:rFonts w:ascii="黑体" w:hAnsi="黑体" w:eastAsia="黑体" w:cs="黑体"/>
          <w:sz w:val="32"/>
          <w:szCs w:val="32"/>
        </w:rPr>
      </w:pPr>
      <w:r>
        <w:rPr>
          <w:rFonts w:hint="eastAsia" w:ascii="黑体" w:hAnsi="黑体" w:eastAsia="黑体" w:cs="黑体"/>
          <w:sz w:val="32"/>
          <w:szCs w:val="32"/>
        </w:rPr>
        <w:t>附件</w:t>
      </w:r>
    </w:p>
    <w:p>
      <w:pPr>
        <w:jc w:val="center"/>
        <w:rPr>
          <w:rFonts w:ascii="黑体" w:hAnsi="黑体" w:eastAsia="黑体" w:cs="黑体"/>
          <w:sz w:val="32"/>
          <w:szCs w:val="32"/>
        </w:rPr>
      </w:pPr>
      <w:r>
        <w:rPr>
          <w:rFonts w:hint="eastAsia" w:ascii="黑体" w:hAnsi="黑体" w:eastAsia="黑体" w:cs="黑体"/>
          <w:sz w:val="32"/>
          <w:szCs w:val="32"/>
        </w:rPr>
        <w:t>2023年崇明区生猪稳产保供任务分解表</w:t>
      </w:r>
    </w:p>
    <w:p>
      <w:pPr>
        <w:pStyle w:val="2"/>
        <w:rPr>
          <w:rFonts w:ascii="宋体" w:hAnsi="宋体" w:cs="宋体"/>
          <w:b/>
          <w:bCs/>
          <w:color w:val="000000"/>
          <w:kern w:val="0"/>
          <w:sz w:val="21"/>
          <w:szCs w:val="21"/>
        </w:rPr>
      </w:pPr>
      <w:r>
        <w:rPr>
          <w:rFonts w:hint="eastAsia"/>
        </w:rPr>
        <w:t xml:space="preserve">                                                                                    </w:t>
      </w:r>
      <w:r>
        <w:rPr>
          <w:rFonts w:hint="eastAsia" w:ascii="宋体" w:hAnsi="宋体" w:cs="宋体"/>
          <w:b/>
          <w:bCs/>
          <w:color w:val="000000"/>
          <w:kern w:val="0"/>
          <w:sz w:val="21"/>
          <w:szCs w:val="21"/>
        </w:rPr>
        <w:t>单位：头</w:t>
      </w:r>
    </w:p>
    <w:tbl>
      <w:tblPr>
        <w:tblStyle w:val="7"/>
        <w:tblW w:w="9339" w:type="dxa"/>
        <w:jc w:val="center"/>
        <w:tblInd w:w="0" w:type="dxa"/>
        <w:tblLayout w:type="fixed"/>
        <w:tblCellMar>
          <w:top w:w="0" w:type="dxa"/>
          <w:left w:w="108" w:type="dxa"/>
          <w:bottom w:w="0" w:type="dxa"/>
          <w:right w:w="108" w:type="dxa"/>
        </w:tblCellMar>
      </w:tblPr>
      <w:tblGrid>
        <w:gridCol w:w="526"/>
        <w:gridCol w:w="967"/>
        <w:gridCol w:w="2889"/>
        <w:gridCol w:w="1286"/>
        <w:gridCol w:w="1371"/>
        <w:gridCol w:w="1365"/>
        <w:gridCol w:w="935"/>
      </w:tblGrid>
      <w:tr>
        <w:tblPrEx>
          <w:tblLayout w:type="fixed"/>
          <w:tblCellMar>
            <w:top w:w="0" w:type="dxa"/>
            <w:left w:w="108" w:type="dxa"/>
            <w:bottom w:w="0" w:type="dxa"/>
            <w:right w:w="108" w:type="dxa"/>
          </w:tblCellMar>
        </w:tblPrEx>
        <w:trPr>
          <w:trHeight w:val="934" w:hRule="atLeast"/>
          <w:jc w:val="center"/>
        </w:trPr>
        <w:tc>
          <w:tcPr>
            <w:tcW w:w="52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9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乡镇/</w:t>
            </w:r>
            <w:r>
              <w:rPr>
                <w:rFonts w:hint="eastAsia" w:ascii="宋体" w:hAnsi="宋体" w:cs="宋体"/>
                <w:b/>
                <w:bCs/>
                <w:color w:val="000000"/>
                <w:kern w:val="0"/>
                <w:szCs w:val="21"/>
              </w:rPr>
              <w:br w:type="textWrapping"/>
            </w:r>
            <w:r>
              <w:rPr>
                <w:rFonts w:hint="eastAsia" w:ascii="宋体" w:hAnsi="宋体" w:cs="宋体"/>
                <w:b/>
                <w:bCs/>
                <w:color w:val="000000"/>
                <w:kern w:val="0"/>
                <w:szCs w:val="21"/>
              </w:rPr>
              <w:t>单位</w:t>
            </w:r>
          </w:p>
        </w:tc>
        <w:tc>
          <w:tcPr>
            <w:tcW w:w="28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养殖场名称</w:t>
            </w:r>
          </w:p>
        </w:tc>
        <w:tc>
          <w:tcPr>
            <w:tcW w:w="128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能繁母猪</w:t>
            </w:r>
          </w:p>
          <w:p>
            <w:pPr>
              <w:widowControl/>
              <w:jc w:val="center"/>
              <w:rPr>
                <w:rFonts w:ascii="宋体" w:hAnsi="宋体" w:cs="宋体"/>
                <w:b/>
                <w:bCs/>
                <w:color w:val="000000"/>
                <w:kern w:val="0"/>
                <w:szCs w:val="21"/>
              </w:rPr>
            </w:pPr>
            <w:r>
              <w:rPr>
                <w:rFonts w:hint="eastAsia" w:ascii="宋体" w:hAnsi="宋体" w:cs="宋体"/>
                <w:b/>
                <w:bCs/>
                <w:color w:val="000000"/>
                <w:kern w:val="0"/>
                <w:szCs w:val="21"/>
              </w:rPr>
              <w:t>正常保有量</w:t>
            </w:r>
          </w:p>
        </w:tc>
        <w:tc>
          <w:tcPr>
            <w:tcW w:w="1371" w:type="dxa"/>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能繁母猪</w:t>
            </w:r>
          </w:p>
          <w:p>
            <w:pPr>
              <w:widowControl/>
              <w:jc w:val="center"/>
              <w:rPr>
                <w:rFonts w:ascii="宋体" w:hAnsi="宋体" w:cs="宋体"/>
                <w:b/>
                <w:bCs/>
                <w:color w:val="000000"/>
                <w:kern w:val="0"/>
                <w:szCs w:val="21"/>
              </w:rPr>
            </w:pPr>
            <w:r>
              <w:rPr>
                <w:rFonts w:hint="eastAsia" w:ascii="宋体" w:hAnsi="宋体" w:cs="宋体"/>
                <w:b/>
                <w:bCs/>
                <w:color w:val="000000"/>
                <w:kern w:val="0"/>
                <w:szCs w:val="21"/>
              </w:rPr>
              <w:t>最低保有量</w:t>
            </w:r>
          </w:p>
        </w:tc>
        <w:tc>
          <w:tcPr>
            <w:tcW w:w="136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生猪屠宰</w:t>
            </w:r>
          </w:p>
          <w:p>
            <w:pPr>
              <w:widowControl/>
              <w:jc w:val="center"/>
              <w:rPr>
                <w:rFonts w:ascii="宋体" w:hAnsi="宋体" w:cs="宋体"/>
                <w:b/>
                <w:bCs/>
                <w:color w:val="000000"/>
                <w:kern w:val="0"/>
                <w:szCs w:val="21"/>
              </w:rPr>
            </w:pPr>
            <w:r>
              <w:rPr>
                <w:rFonts w:hint="eastAsia" w:ascii="宋体" w:hAnsi="宋体" w:cs="宋体"/>
                <w:b/>
                <w:bCs/>
                <w:color w:val="000000"/>
                <w:kern w:val="0"/>
                <w:szCs w:val="21"/>
              </w:rPr>
              <w:t>计划上市量</w:t>
            </w:r>
          </w:p>
        </w:tc>
        <w:tc>
          <w:tcPr>
            <w:tcW w:w="93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备注</w:t>
            </w:r>
          </w:p>
        </w:tc>
      </w:tr>
      <w:tr>
        <w:tblPrEx>
          <w:tblLayout w:type="fixed"/>
          <w:tblCellMar>
            <w:top w:w="0" w:type="dxa"/>
            <w:left w:w="108" w:type="dxa"/>
            <w:bottom w:w="0" w:type="dxa"/>
            <w:right w:w="108" w:type="dxa"/>
          </w:tblCellMar>
        </w:tblPrEx>
        <w:trPr>
          <w:trHeight w:val="388"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1</w:t>
            </w:r>
          </w:p>
        </w:tc>
        <w:tc>
          <w:tcPr>
            <w:tcW w:w="96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新村</w:t>
            </w: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上海国富养猪专业合作社</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700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665</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10000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color w:val="000000"/>
                <w:kern w:val="0"/>
                <w:szCs w:val="21"/>
              </w:rPr>
            </w:pP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2</w:t>
            </w:r>
          </w:p>
        </w:tc>
        <w:tc>
          <w:tcPr>
            <w:tcW w:w="96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绿华</w:t>
            </w: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上海市明珠湖农业科技有限公司</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1950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1853</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color w:val="000000"/>
                <w:kern w:val="0"/>
                <w:szCs w:val="21"/>
              </w:rPr>
            </w:pP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3</w:t>
            </w:r>
          </w:p>
        </w:tc>
        <w:tc>
          <w:tcPr>
            <w:tcW w:w="96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庙镇</w:t>
            </w: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上海慧岛养猪场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1260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1197</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17000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color w:val="000000"/>
                <w:kern w:val="0"/>
                <w:szCs w:val="21"/>
              </w:rPr>
            </w:pP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4</w:t>
            </w:r>
          </w:p>
        </w:tc>
        <w:tc>
          <w:tcPr>
            <w:tcW w:w="96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城桥</w:t>
            </w: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上海明昕畜禽有限公司</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 xml:space="preserve">0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0</w:t>
            </w:r>
          </w:p>
        </w:tc>
        <w:tc>
          <w:tcPr>
            <w:tcW w:w="935" w:type="dxa"/>
            <w:tcBorders>
              <w:top w:val="nil"/>
              <w:left w:val="nil"/>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 w:val="18"/>
                <w:szCs w:val="18"/>
                <w:lang w:bidi="ar"/>
              </w:rPr>
              <w:t>正在改造</w:t>
            </w: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5</w:t>
            </w:r>
          </w:p>
        </w:tc>
        <w:tc>
          <w:tcPr>
            <w:tcW w:w="967"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上海力行畜牧专业合作社</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1320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1254</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20000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color w:val="000000"/>
                <w:kern w:val="0"/>
                <w:szCs w:val="21"/>
              </w:rPr>
            </w:pPr>
          </w:p>
        </w:tc>
      </w:tr>
      <w:tr>
        <w:tblPrEx>
          <w:tblLayout w:type="fixed"/>
          <w:tblCellMar>
            <w:top w:w="0" w:type="dxa"/>
            <w:left w:w="108" w:type="dxa"/>
            <w:bottom w:w="0" w:type="dxa"/>
            <w:right w:w="108" w:type="dxa"/>
          </w:tblCellMar>
        </w:tblPrEx>
        <w:trPr>
          <w:trHeight w:val="160"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6</w:t>
            </w:r>
          </w:p>
        </w:tc>
        <w:tc>
          <w:tcPr>
            <w:tcW w:w="96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新河</w:t>
            </w: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上海恒健农牧科技有限公司</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2200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2090</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30000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color w:val="000000"/>
                <w:kern w:val="0"/>
                <w:szCs w:val="21"/>
              </w:rPr>
            </w:pP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7</w:t>
            </w:r>
          </w:p>
        </w:tc>
        <w:tc>
          <w:tcPr>
            <w:tcW w:w="96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园区</w:t>
            </w: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上海中新农业有限公司</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1500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1425</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16000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kern w:val="0"/>
                <w:szCs w:val="21"/>
              </w:rPr>
            </w:pP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8</w:t>
            </w:r>
          </w:p>
        </w:tc>
        <w:tc>
          <w:tcPr>
            <w:tcW w:w="967"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上海市崇明区种畜场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350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 xml:space="preserve">333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5000</w:t>
            </w:r>
          </w:p>
        </w:tc>
        <w:tc>
          <w:tcPr>
            <w:tcW w:w="935" w:type="dxa"/>
            <w:tcBorders>
              <w:top w:val="nil"/>
              <w:left w:val="nil"/>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 w:val="18"/>
                <w:szCs w:val="18"/>
                <w:lang w:bidi="ar"/>
              </w:rPr>
              <w:t>沙乌头保种猪场</w:t>
            </w: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9</w:t>
            </w:r>
          </w:p>
        </w:tc>
        <w:tc>
          <w:tcPr>
            <w:tcW w:w="96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上海警备区富民猪场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300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 w:val="22"/>
                <w:szCs w:val="22"/>
                <w:lang w:bidi="ar"/>
              </w:rPr>
              <w:t xml:space="preserve">285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4500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color w:val="000000"/>
                <w:kern w:val="0"/>
                <w:szCs w:val="21"/>
              </w:rPr>
            </w:pPr>
          </w:p>
        </w:tc>
      </w:tr>
      <w:tr>
        <w:tblPrEx>
          <w:tblLayout w:type="fixed"/>
          <w:tblCellMar>
            <w:top w:w="0" w:type="dxa"/>
            <w:left w:w="108" w:type="dxa"/>
            <w:bottom w:w="0" w:type="dxa"/>
            <w:right w:w="108" w:type="dxa"/>
          </w:tblCellMar>
        </w:tblPrEx>
        <w:trPr>
          <w:trHeight w:val="397" w:hRule="atLeast"/>
          <w:jc w:val="center"/>
        </w:trPr>
        <w:tc>
          <w:tcPr>
            <w:tcW w:w="438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小计</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bCs/>
                <w:kern w:val="0"/>
                <w:szCs w:val="21"/>
              </w:rPr>
            </w:pPr>
            <w:r>
              <w:rPr>
                <w:rFonts w:hint="eastAsia" w:ascii="宋体" w:hAnsi="宋体" w:cs="宋体"/>
                <w:b/>
                <w:kern w:val="0"/>
                <w:sz w:val="22"/>
                <w:szCs w:val="22"/>
                <w:lang w:bidi="ar"/>
              </w:rPr>
              <w:t>9580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bCs/>
                <w:kern w:val="0"/>
                <w:szCs w:val="21"/>
              </w:rPr>
            </w:pPr>
            <w:r>
              <w:rPr>
                <w:rFonts w:hint="eastAsia" w:ascii="宋体" w:hAnsi="宋体" w:cs="宋体"/>
                <w:b/>
                <w:kern w:val="0"/>
                <w:sz w:val="22"/>
                <w:szCs w:val="22"/>
                <w:lang w:bidi="ar"/>
              </w:rPr>
              <w:t xml:space="preserve">9101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kern w:val="0"/>
                <w:sz w:val="22"/>
                <w:szCs w:val="22"/>
                <w:lang w:bidi="ar"/>
              </w:rPr>
            </w:pPr>
            <w:r>
              <w:rPr>
                <w:rFonts w:hint="eastAsia" w:ascii="宋体" w:hAnsi="宋体" w:cs="宋体"/>
                <w:b/>
                <w:kern w:val="0"/>
                <w:sz w:val="22"/>
                <w:szCs w:val="22"/>
                <w:lang w:bidi="ar"/>
              </w:rPr>
              <w:t>142500</w:t>
            </w:r>
          </w:p>
        </w:tc>
        <w:tc>
          <w:tcPr>
            <w:tcW w:w="935" w:type="dxa"/>
            <w:tcBorders>
              <w:top w:val="nil"/>
              <w:left w:val="nil"/>
              <w:bottom w:val="single" w:color="auto" w:sz="4" w:space="0"/>
              <w:right w:val="single" w:color="auto" w:sz="4" w:space="0"/>
            </w:tcBorders>
            <w:shd w:val="clear" w:color="auto" w:fill="auto"/>
            <w:vAlign w:val="center"/>
          </w:tcPr>
          <w:p>
            <w:pPr>
              <w:jc w:val="center"/>
              <w:rPr>
                <w:rFonts w:ascii="宋体" w:hAnsi="宋体" w:cs="宋体"/>
                <w:b/>
                <w:bCs/>
                <w:kern w:val="0"/>
                <w:szCs w:val="21"/>
              </w:rPr>
            </w:pPr>
          </w:p>
        </w:tc>
      </w:tr>
      <w:tr>
        <w:tblPrEx>
          <w:tblLayout w:type="fixed"/>
          <w:tblCellMar>
            <w:top w:w="0" w:type="dxa"/>
            <w:left w:w="108" w:type="dxa"/>
            <w:bottom w:w="0" w:type="dxa"/>
            <w:right w:w="108" w:type="dxa"/>
          </w:tblCellMar>
        </w:tblPrEx>
        <w:trPr>
          <w:trHeight w:val="352"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1</w:t>
            </w:r>
          </w:p>
        </w:tc>
        <w:tc>
          <w:tcPr>
            <w:tcW w:w="96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光明崇明农场</w:t>
            </w: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上海长风畜牧场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650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 xml:space="preserve">618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 w:val="22"/>
                <w:szCs w:val="22"/>
                <w:lang w:bidi="ar"/>
              </w:rPr>
            </w:pPr>
            <w:r>
              <w:rPr>
                <w:rFonts w:hint="eastAsia" w:ascii="宋体" w:hAnsi="宋体" w:cs="宋体"/>
                <w:kern w:val="0"/>
                <w:sz w:val="22"/>
                <w:szCs w:val="22"/>
                <w:lang w:bidi="ar"/>
              </w:rPr>
              <w:t>5000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kern w:val="0"/>
                <w:szCs w:val="21"/>
              </w:rPr>
            </w:pPr>
          </w:p>
        </w:tc>
      </w:tr>
      <w:tr>
        <w:tblPrEx>
          <w:tblLayout w:type="fixed"/>
          <w:tblCellMar>
            <w:top w:w="0" w:type="dxa"/>
            <w:left w:w="108" w:type="dxa"/>
            <w:bottom w:w="0" w:type="dxa"/>
            <w:right w:w="108" w:type="dxa"/>
          </w:tblCellMar>
        </w:tblPrEx>
        <w:trPr>
          <w:trHeight w:val="33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2</w:t>
            </w:r>
          </w:p>
        </w:tc>
        <w:tc>
          <w:tcPr>
            <w:tcW w:w="967"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上海沁侬种猪一场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900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 xml:space="preserve">855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 w:val="22"/>
                <w:szCs w:val="22"/>
                <w:lang w:bidi="ar"/>
              </w:rPr>
            </w:pPr>
            <w:r>
              <w:rPr>
                <w:rFonts w:hint="eastAsia" w:ascii="宋体" w:hAnsi="宋体" w:cs="宋体"/>
                <w:kern w:val="0"/>
                <w:sz w:val="22"/>
                <w:szCs w:val="22"/>
                <w:lang w:bidi="ar"/>
              </w:rPr>
              <w:t>11000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kern w:val="0"/>
                <w:szCs w:val="21"/>
              </w:rPr>
            </w:pPr>
          </w:p>
        </w:tc>
      </w:tr>
      <w:tr>
        <w:tblPrEx>
          <w:tblLayout w:type="fixed"/>
          <w:tblCellMar>
            <w:top w:w="0" w:type="dxa"/>
            <w:left w:w="108" w:type="dxa"/>
            <w:bottom w:w="0" w:type="dxa"/>
            <w:right w:w="108" w:type="dxa"/>
          </w:tblCellMar>
        </w:tblPrEx>
        <w:trPr>
          <w:trHeight w:val="352"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3</w:t>
            </w:r>
          </w:p>
        </w:tc>
        <w:tc>
          <w:tcPr>
            <w:tcW w:w="967"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上海沁侬种猪二场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890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846</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 w:val="22"/>
                <w:szCs w:val="22"/>
                <w:lang w:bidi="ar"/>
              </w:rPr>
            </w:pPr>
            <w:r>
              <w:rPr>
                <w:rFonts w:hint="eastAsia" w:ascii="宋体" w:hAnsi="宋体" w:cs="宋体"/>
                <w:kern w:val="0"/>
                <w:sz w:val="22"/>
                <w:szCs w:val="22"/>
                <w:lang w:bidi="ar"/>
              </w:rPr>
              <w:t>9000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kern w:val="0"/>
                <w:szCs w:val="21"/>
              </w:rPr>
            </w:pP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4</w:t>
            </w:r>
          </w:p>
        </w:tc>
        <w:tc>
          <w:tcPr>
            <w:tcW w:w="967"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上海爱茵康畜禽养殖场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320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304</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 w:val="22"/>
                <w:szCs w:val="22"/>
                <w:lang w:bidi="ar"/>
              </w:rPr>
            </w:pPr>
            <w:r>
              <w:rPr>
                <w:rFonts w:hint="eastAsia" w:ascii="宋体" w:hAnsi="宋体" w:cs="宋体"/>
                <w:kern w:val="0"/>
                <w:sz w:val="22"/>
                <w:szCs w:val="22"/>
                <w:lang w:bidi="ar"/>
              </w:rPr>
              <w:t>2500</w:t>
            </w:r>
          </w:p>
        </w:tc>
        <w:tc>
          <w:tcPr>
            <w:tcW w:w="935" w:type="dxa"/>
            <w:tcBorders>
              <w:top w:val="nil"/>
              <w:left w:val="nil"/>
              <w:bottom w:val="single" w:color="auto" w:sz="4" w:space="0"/>
              <w:right w:val="single" w:color="auto" w:sz="4" w:space="0"/>
            </w:tcBorders>
            <w:shd w:val="clear" w:color="auto" w:fill="auto"/>
            <w:vAlign w:val="center"/>
          </w:tcPr>
          <w:p>
            <w:pPr>
              <w:widowControl/>
              <w:jc w:val="left"/>
              <w:textAlignment w:val="center"/>
              <w:rPr>
                <w:rFonts w:ascii="宋体" w:hAnsi="宋体" w:cs="宋体"/>
                <w:kern w:val="0"/>
                <w:szCs w:val="21"/>
              </w:rPr>
            </w:pPr>
          </w:p>
        </w:tc>
      </w:tr>
      <w:tr>
        <w:tblPrEx>
          <w:tblLayout w:type="fixed"/>
          <w:tblCellMar>
            <w:top w:w="0" w:type="dxa"/>
            <w:left w:w="108" w:type="dxa"/>
            <w:bottom w:w="0" w:type="dxa"/>
            <w:right w:w="108" w:type="dxa"/>
          </w:tblCellMar>
        </w:tblPrEx>
        <w:trPr>
          <w:trHeight w:val="36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5</w:t>
            </w:r>
          </w:p>
        </w:tc>
        <w:tc>
          <w:tcPr>
            <w:tcW w:w="967"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上海星岛畜牧场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970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 xml:space="preserve">922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 w:val="22"/>
                <w:szCs w:val="22"/>
                <w:lang w:bidi="ar"/>
              </w:rPr>
            </w:pPr>
            <w:r>
              <w:rPr>
                <w:rFonts w:hint="eastAsia" w:ascii="宋体" w:hAnsi="宋体" w:cs="宋体"/>
                <w:kern w:val="0"/>
                <w:sz w:val="22"/>
                <w:szCs w:val="22"/>
                <w:lang w:bidi="ar"/>
              </w:rPr>
              <w:t>19000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kern w:val="0"/>
                <w:szCs w:val="21"/>
              </w:rPr>
            </w:pPr>
          </w:p>
        </w:tc>
      </w:tr>
      <w:tr>
        <w:tblPrEx>
          <w:tblLayout w:type="fixed"/>
          <w:tblCellMar>
            <w:top w:w="0" w:type="dxa"/>
            <w:left w:w="108" w:type="dxa"/>
            <w:bottom w:w="0" w:type="dxa"/>
            <w:right w:w="108" w:type="dxa"/>
          </w:tblCellMar>
        </w:tblPrEx>
        <w:trPr>
          <w:trHeight w:val="36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6</w:t>
            </w:r>
          </w:p>
        </w:tc>
        <w:tc>
          <w:tcPr>
            <w:tcW w:w="967"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上海兴冠畜牧有限公司</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510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485</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 w:val="22"/>
                <w:szCs w:val="22"/>
                <w:lang w:bidi="ar"/>
              </w:rPr>
            </w:pPr>
            <w:r>
              <w:rPr>
                <w:rFonts w:hint="eastAsia" w:ascii="宋体" w:hAnsi="宋体" w:cs="宋体"/>
                <w:kern w:val="0"/>
                <w:sz w:val="22"/>
                <w:szCs w:val="22"/>
                <w:lang w:bidi="ar"/>
              </w:rPr>
              <w:t>6000</w:t>
            </w:r>
          </w:p>
        </w:tc>
        <w:tc>
          <w:tcPr>
            <w:tcW w:w="935" w:type="dxa"/>
            <w:tcBorders>
              <w:top w:val="nil"/>
              <w:left w:val="nil"/>
              <w:bottom w:val="single" w:color="auto" w:sz="4" w:space="0"/>
              <w:right w:val="single" w:color="auto" w:sz="4" w:space="0"/>
            </w:tcBorders>
            <w:shd w:val="clear" w:color="auto" w:fill="auto"/>
            <w:vAlign w:val="center"/>
          </w:tcPr>
          <w:p>
            <w:pPr>
              <w:widowControl/>
              <w:jc w:val="left"/>
              <w:textAlignment w:val="center"/>
              <w:rPr>
                <w:rFonts w:ascii="宋体" w:hAnsi="宋体" w:cs="宋体"/>
                <w:kern w:val="0"/>
                <w:szCs w:val="21"/>
              </w:rPr>
            </w:pP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7</w:t>
            </w:r>
          </w:p>
        </w:tc>
        <w:tc>
          <w:tcPr>
            <w:tcW w:w="96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光明农牧公司</w:t>
            </w: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前进二场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2400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 xml:space="preserve">2280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 w:val="22"/>
                <w:szCs w:val="22"/>
                <w:lang w:bidi="ar"/>
              </w:rPr>
            </w:pPr>
            <w:r>
              <w:rPr>
                <w:rFonts w:hint="eastAsia" w:ascii="宋体" w:hAnsi="宋体" w:cs="宋体"/>
                <w:kern w:val="0"/>
                <w:sz w:val="22"/>
                <w:szCs w:val="22"/>
                <w:lang w:bidi="ar"/>
              </w:rPr>
              <w:t>45000</w:t>
            </w:r>
          </w:p>
        </w:tc>
        <w:tc>
          <w:tcPr>
            <w:tcW w:w="935" w:type="dxa"/>
            <w:tcBorders>
              <w:top w:val="nil"/>
              <w:left w:val="nil"/>
              <w:bottom w:val="single" w:color="auto" w:sz="4" w:space="0"/>
              <w:right w:val="single" w:color="auto" w:sz="4" w:space="0"/>
            </w:tcBorders>
            <w:shd w:val="clear" w:color="auto" w:fill="auto"/>
            <w:vAlign w:val="center"/>
          </w:tcPr>
          <w:p>
            <w:pPr>
              <w:widowControl/>
              <w:jc w:val="left"/>
              <w:textAlignment w:val="center"/>
              <w:rPr>
                <w:rFonts w:ascii="宋体" w:hAnsi="宋体" w:cs="宋体"/>
                <w:kern w:val="0"/>
                <w:szCs w:val="21"/>
              </w:rPr>
            </w:pPr>
          </w:p>
        </w:tc>
      </w:tr>
      <w:tr>
        <w:tblPrEx>
          <w:tblLayout w:type="fixed"/>
          <w:tblCellMar>
            <w:top w:w="0" w:type="dxa"/>
            <w:left w:w="108" w:type="dxa"/>
            <w:bottom w:w="0" w:type="dxa"/>
            <w:right w:w="108" w:type="dxa"/>
          </w:tblCellMar>
        </w:tblPrEx>
        <w:trPr>
          <w:trHeight w:val="397" w:hRule="atLeast"/>
          <w:jc w:val="center"/>
        </w:trPr>
        <w:tc>
          <w:tcPr>
            <w:tcW w:w="5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8</w:t>
            </w:r>
          </w:p>
        </w:tc>
        <w:tc>
          <w:tcPr>
            <w:tcW w:w="967"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Cs w:val="21"/>
              </w:rPr>
            </w:pPr>
          </w:p>
        </w:tc>
        <w:tc>
          <w:tcPr>
            <w:tcW w:w="28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前进三场</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2400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Cs w:val="21"/>
              </w:rPr>
            </w:pPr>
            <w:r>
              <w:rPr>
                <w:rFonts w:hint="eastAsia" w:ascii="宋体" w:hAnsi="宋体" w:cs="宋体"/>
                <w:kern w:val="0"/>
                <w:sz w:val="22"/>
                <w:szCs w:val="22"/>
                <w:lang w:bidi="ar"/>
              </w:rPr>
              <w:t xml:space="preserve">2280 </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kern w:val="0"/>
                <w:sz w:val="22"/>
                <w:szCs w:val="22"/>
                <w:lang w:bidi="ar"/>
              </w:rPr>
            </w:pPr>
            <w:r>
              <w:rPr>
                <w:rFonts w:hint="eastAsia" w:ascii="宋体" w:hAnsi="宋体" w:cs="宋体"/>
                <w:kern w:val="0"/>
                <w:sz w:val="22"/>
                <w:szCs w:val="22"/>
                <w:lang w:bidi="ar"/>
              </w:rPr>
              <w:t>45000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kern w:val="0"/>
                <w:szCs w:val="21"/>
              </w:rPr>
            </w:pPr>
          </w:p>
        </w:tc>
      </w:tr>
      <w:tr>
        <w:tblPrEx>
          <w:tblLayout w:type="fixed"/>
          <w:tblCellMar>
            <w:top w:w="0" w:type="dxa"/>
            <w:left w:w="108" w:type="dxa"/>
            <w:bottom w:w="0" w:type="dxa"/>
            <w:right w:w="108" w:type="dxa"/>
          </w:tblCellMar>
        </w:tblPrEx>
        <w:trPr>
          <w:trHeight w:val="397" w:hRule="atLeast"/>
          <w:jc w:val="center"/>
        </w:trPr>
        <w:tc>
          <w:tcPr>
            <w:tcW w:w="438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小计</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bCs/>
                <w:kern w:val="0"/>
                <w:szCs w:val="21"/>
              </w:rPr>
            </w:pPr>
            <w:r>
              <w:rPr>
                <w:rFonts w:hint="eastAsia" w:ascii="宋体" w:hAnsi="宋体" w:cs="宋体"/>
                <w:b/>
                <w:kern w:val="0"/>
                <w:sz w:val="22"/>
                <w:szCs w:val="22"/>
                <w:lang w:bidi="ar"/>
              </w:rPr>
              <w:t>9040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bCs/>
                <w:kern w:val="0"/>
                <w:szCs w:val="21"/>
              </w:rPr>
            </w:pPr>
            <w:r>
              <w:rPr>
                <w:rFonts w:hint="eastAsia" w:ascii="宋体" w:hAnsi="宋体" w:cs="宋体"/>
                <w:b/>
                <w:kern w:val="0"/>
                <w:sz w:val="22"/>
                <w:szCs w:val="22"/>
                <w:lang w:bidi="ar"/>
              </w:rPr>
              <w:t>8588</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kern w:val="0"/>
                <w:sz w:val="22"/>
                <w:szCs w:val="22"/>
                <w:lang w:bidi="ar"/>
              </w:rPr>
            </w:pPr>
            <w:r>
              <w:rPr>
                <w:rFonts w:hint="eastAsia" w:ascii="宋体" w:hAnsi="宋体" w:cs="宋体"/>
                <w:b/>
                <w:kern w:val="0"/>
                <w:sz w:val="22"/>
                <w:szCs w:val="22"/>
                <w:lang w:bidi="ar"/>
              </w:rPr>
              <w:t>142500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b/>
                <w:bCs/>
                <w:kern w:val="0"/>
                <w:szCs w:val="21"/>
              </w:rPr>
            </w:pPr>
          </w:p>
        </w:tc>
      </w:tr>
      <w:tr>
        <w:tblPrEx>
          <w:tblLayout w:type="fixed"/>
          <w:tblCellMar>
            <w:top w:w="0" w:type="dxa"/>
            <w:left w:w="108" w:type="dxa"/>
            <w:bottom w:w="0" w:type="dxa"/>
            <w:right w:w="108" w:type="dxa"/>
          </w:tblCellMar>
        </w:tblPrEx>
        <w:trPr>
          <w:trHeight w:val="397" w:hRule="atLeast"/>
          <w:jc w:val="center"/>
        </w:trPr>
        <w:tc>
          <w:tcPr>
            <w:tcW w:w="438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合计</w:t>
            </w:r>
          </w:p>
        </w:tc>
        <w:tc>
          <w:tcPr>
            <w:tcW w:w="1286"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bCs/>
                <w:kern w:val="0"/>
                <w:szCs w:val="21"/>
              </w:rPr>
            </w:pPr>
            <w:r>
              <w:rPr>
                <w:rFonts w:hint="eastAsia" w:ascii="宋体" w:hAnsi="宋体" w:cs="宋体"/>
                <w:b/>
                <w:kern w:val="0"/>
                <w:sz w:val="22"/>
                <w:szCs w:val="22"/>
                <w:lang w:bidi="ar"/>
              </w:rPr>
              <w:t>18620</w:t>
            </w:r>
          </w:p>
        </w:tc>
        <w:tc>
          <w:tcPr>
            <w:tcW w:w="137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bCs/>
                <w:kern w:val="0"/>
                <w:szCs w:val="21"/>
              </w:rPr>
            </w:pPr>
            <w:r>
              <w:rPr>
                <w:rFonts w:hint="eastAsia" w:ascii="宋体" w:hAnsi="宋体" w:cs="宋体"/>
                <w:b/>
                <w:kern w:val="0"/>
                <w:sz w:val="22"/>
                <w:szCs w:val="22"/>
                <w:lang w:bidi="ar"/>
              </w:rPr>
              <w:t>17689</w:t>
            </w:r>
          </w:p>
        </w:tc>
        <w:tc>
          <w:tcPr>
            <w:tcW w:w="1365"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cs="宋体"/>
                <w:b/>
                <w:kern w:val="0"/>
                <w:sz w:val="22"/>
                <w:szCs w:val="22"/>
                <w:lang w:bidi="ar"/>
              </w:rPr>
            </w:pPr>
            <w:r>
              <w:rPr>
                <w:rFonts w:hint="eastAsia" w:ascii="宋体" w:hAnsi="宋体" w:cs="宋体"/>
                <w:b/>
                <w:kern w:val="0"/>
                <w:sz w:val="22"/>
                <w:szCs w:val="22"/>
                <w:lang w:bidi="ar"/>
              </w:rPr>
              <w:t>285000</w:t>
            </w:r>
          </w:p>
        </w:tc>
        <w:tc>
          <w:tcPr>
            <w:tcW w:w="935" w:type="dxa"/>
            <w:tcBorders>
              <w:top w:val="nil"/>
              <w:left w:val="nil"/>
              <w:bottom w:val="single" w:color="auto" w:sz="4" w:space="0"/>
              <w:right w:val="single" w:color="auto" w:sz="4" w:space="0"/>
            </w:tcBorders>
            <w:shd w:val="clear" w:color="auto" w:fill="auto"/>
            <w:vAlign w:val="center"/>
          </w:tcPr>
          <w:p>
            <w:pPr>
              <w:rPr>
                <w:rFonts w:ascii="宋体" w:hAnsi="宋体" w:cs="宋体"/>
                <w:b/>
                <w:bCs/>
                <w:kern w:val="0"/>
                <w:szCs w:val="21"/>
              </w:rPr>
            </w:pPr>
          </w:p>
        </w:tc>
      </w:tr>
    </w:tbl>
    <w:p>
      <w:pPr>
        <w:pStyle w:val="2"/>
        <w:keepNext w:val="0"/>
        <w:keepLines w:val="0"/>
        <w:pageBreakBefore w:val="0"/>
        <w:widowControl w:val="0"/>
        <w:kinsoku/>
        <w:wordWrap/>
        <w:overflowPunct/>
        <w:topLinePunct w:val="0"/>
        <w:autoSpaceDE/>
        <w:autoSpaceDN/>
        <w:bidi w:val="0"/>
        <w:adjustRightInd/>
        <w:snapToGrid w:val="0"/>
        <w:spacing w:line="360" w:lineRule="exact"/>
        <w:textAlignment w:val="auto"/>
        <w:outlineLvl w:val="9"/>
        <w:rPr>
          <w:b/>
          <w:bCs/>
          <w:sz w:val="24"/>
          <w:szCs w:val="24"/>
        </w:rPr>
      </w:pPr>
    </w:p>
    <w:p>
      <w:pPr>
        <w:pStyle w:val="2"/>
        <w:keepNext w:val="0"/>
        <w:keepLines w:val="0"/>
        <w:pageBreakBefore w:val="0"/>
        <w:widowControl w:val="0"/>
        <w:kinsoku/>
        <w:wordWrap/>
        <w:overflowPunct/>
        <w:topLinePunct w:val="0"/>
        <w:autoSpaceDE/>
        <w:autoSpaceDN/>
        <w:bidi w:val="0"/>
        <w:adjustRightInd/>
        <w:snapToGrid w:val="0"/>
        <w:spacing w:line="360" w:lineRule="exact"/>
        <w:textAlignment w:val="auto"/>
        <w:outlineLvl w:val="9"/>
        <w:rPr>
          <w:sz w:val="24"/>
          <w:szCs w:val="24"/>
        </w:rPr>
      </w:pPr>
      <w:r>
        <w:rPr>
          <w:rFonts w:hint="eastAsia"/>
          <w:b/>
          <w:bCs/>
          <w:sz w:val="24"/>
          <w:szCs w:val="24"/>
        </w:rPr>
        <w:t>备注：1.</w:t>
      </w:r>
      <w:r>
        <w:rPr>
          <w:rFonts w:hint="eastAsia"/>
          <w:sz w:val="24"/>
          <w:szCs w:val="24"/>
        </w:rPr>
        <w:t>考核指标：努力确保能繁母猪月度存栏量不低于正常保有量。</w:t>
      </w:r>
    </w:p>
    <w:p>
      <w:pPr>
        <w:pStyle w:val="2"/>
        <w:keepNext w:val="0"/>
        <w:keepLines w:val="0"/>
        <w:pageBreakBefore w:val="0"/>
        <w:widowControl w:val="0"/>
        <w:kinsoku/>
        <w:wordWrap/>
        <w:overflowPunct/>
        <w:topLinePunct w:val="0"/>
        <w:autoSpaceDE/>
        <w:autoSpaceDN/>
        <w:bidi w:val="0"/>
        <w:adjustRightInd/>
        <w:snapToGrid w:val="0"/>
        <w:spacing w:line="360" w:lineRule="exact"/>
        <w:ind w:left="959" w:leftChars="342" w:hanging="241" w:hangingChars="100"/>
        <w:textAlignment w:val="auto"/>
        <w:outlineLvl w:val="9"/>
        <w:rPr>
          <w:lang w:val="en-US" w:eastAsia="zh-CN"/>
        </w:rPr>
      </w:pPr>
      <w:r>
        <w:rPr>
          <w:rFonts w:hint="eastAsia"/>
          <w:b/>
          <w:bCs/>
          <w:sz w:val="24"/>
          <w:szCs w:val="24"/>
        </w:rPr>
        <w:t>2.</w:t>
      </w:r>
      <w:r>
        <w:rPr>
          <w:rFonts w:hint="eastAsia"/>
          <w:sz w:val="24"/>
          <w:szCs w:val="24"/>
        </w:rPr>
        <w:t>考核方式：辖区内能繁母猪存栏量低于最低保有量（正常保有量*95%），将予以月度考核亮灯警示。</w:t>
      </w:r>
    </w:p>
    <w:sectPr>
      <w:headerReference r:id="rId4" w:type="first"/>
      <w:footerReference r:id="rId7" w:type="first"/>
      <w:footerReference r:id="rId5" w:type="default"/>
      <w:headerReference r:id="rId3" w:type="even"/>
      <w:footerReference r:id="rId6" w:type="even"/>
      <w:pgSz w:w="11906" w:h="16838"/>
      <w:pgMar w:top="2098" w:right="1474" w:bottom="1984" w:left="1587" w:header="851" w:footer="1247"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decorative"/>
    <w:pitch w:val="default"/>
    <w:sig w:usb0="00000001" w:usb1="080E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right"/>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639632"/>
    </w:sdtPr>
    <w:sdtContent>
      <w:p>
        <w:pPr>
          <w:pStyle w:val="2"/>
          <w:ind w:firstLine="180" w:firstLineChars="100"/>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7853683"/>
    <w:multiLevelType w:val="singleLevel"/>
    <w:tmpl w:val="F7853683"/>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045"/>
    <w:rsid w:val="00002667"/>
    <w:rsid w:val="0004504A"/>
    <w:rsid w:val="00052038"/>
    <w:rsid w:val="000A30C9"/>
    <w:rsid w:val="0013714C"/>
    <w:rsid w:val="001562E9"/>
    <w:rsid w:val="00180A71"/>
    <w:rsid w:val="001E1D35"/>
    <w:rsid w:val="001F39D8"/>
    <w:rsid w:val="0022312E"/>
    <w:rsid w:val="00232F36"/>
    <w:rsid w:val="0026506F"/>
    <w:rsid w:val="00270770"/>
    <w:rsid w:val="002A1834"/>
    <w:rsid w:val="00364AFB"/>
    <w:rsid w:val="00395936"/>
    <w:rsid w:val="00466422"/>
    <w:rsid w:val="004A652C"/>
    <w:rsid w:val="00512A54"/>
    <w:rsid w:val="00545AC5"/>
    <w:rsid w:val="005463E7"/>
    <w:rsid w:val="005670B4"/>
    <w:rsid w:val="005E13CB"/>
    <w:rsid w:val="005E2E11"/>
    <w:rsid w:val="006326A2"/>
    <w:rsid w:val="00641D88"/>
    <w:rsid w:val="006A4FFB"/>
    <w:rsid w:val="00717904"/>
    <w:rsid w:val="00721C46"/>
    <w:rsid w:val="00763E67"/>
    <w:rsid w:val="00775EF0"/>
    <w:rsid w:val="00785641"/>
    <w:rsid w:val="00796975"/>
    <w:rsid w:val="007F599C"/>
    <w:rsid w:val="008C5D06"/>
    <w:rsid w:val="009133B7"/>
    <w:rsid w:val="009421D7"/>
    <w:rsid w:val="00986EBD"/>
    <w:rsid w:val="0099392C"/>
    <w:rsid w:val="009A1E79"/>
    <w:rsid w:val="009A38E0"/>
    <w:rsid w:val="009B0560"/>
    <w:rsid w:val="009E5E2F"/>
    <w:rsid w:val="00AF7AE8"/>
    <w:rsid w:val="00BA4B06"/>
    <w:rsid w:val="00BA5C14"/>
    <w:rsid w:val="00BB5814"/>
    <w:rsid w:val="00BD591D"/>
    <w:rsid w:val="00BF1105"/>
    <w:rsid w:val="00C11B56"/>
    <w:rsid w:val="00C219BD"/>
    <w:rsid w:val="00C372DC"/>
    <w:rsid w:val="00C85251"/>
    <w:rsid w:val="00C945AA"/>
    <w:rsid w:val="00CB6736"/>
    <w:rsid w:val="00D57723"/>
    <w:rsid w:val="00D93834"/>
    <w:rsid w:val="00E13CAF"/>
    <w:rsid w:val="00E30AC2"/>
    <w:rsid w:val="00E748FD"/>
    <w:rsid w:val="00E76BAF"/>
    <w:rsid w:val="00ED5A2E"/>
    <w:rsid w:val="00F207B9"/>
    <w:rsid w:val="00F25488"/>
    <w:rsid w:val="00F31E6B"/>
    <w:rsid w:val="00FB10D2"/>
    <w:rsid w:val="00FC5045"/>
    <w:rsid w:val="074B6C7D"/>
    <w:rsid w:val="07986C27"/>
    <w:rsid w:val="085C75CA"/>
    <w:rsid w:val="088C3BBA"/>
    <w:rsid w:val="0E1B71D9"/>
    <w:rsid w:val="125F0E4A"/>
    <w:rsid w:val="12C25BF5"/>
    <w:rsid w:val="145B5532"/>
    <w:rsid w:val="20E820DC"/>
    <w:rsid w:val="21714A3A"/>
    <w:rsid w:val="22DE6C8D"/>
    <w:rsid w:val="24AE5CC8"/>
    <w:rsid w:val="2ABB21C3"/>
    <w:rsid w:val="3171476F"/>
    <w:rsid w:val="34F77DF8"/>
    <w:rsid w:val="39E61519"/>
    <w:rsid w:val="3BF0012E"/>
    <w:rsid w:val="3C881EC8"/>
    <w:rsid w:val="401F40F2"/>
    <w:rsid w:val="42E43A3B"/>
    <w:rsid w:val="430D4C6B"/>
    <w:rsid w:val="4B93267E"/>
    <w:rsid w:val="52313438"/>
    <w:rsid w:val="523A6313"/>
    <w:rsid w:val="5363107C"/>
    <w:rsid w:val="5A9F69C2"/>
    <w:rsid w:val="61F32D38"/>
    <w:rsid w:val="62314B77"/>
    <w:rsid w:val="63404068"/>
    <w:rsid w:val="650F2AEB"/>
    <w:rsid w:val="6A9D79F0"/>
    <w:rsid w:val="6B755BB7"/>
    <w:rsid w:val="7002039C"/>
    <w:rsid w:val="71A8161F"/>
    <w:rsid w:val="71E5666D"/>
    <w:rsid w:val="74A0466C"/>
    <w:rsid w:val="75BE5E21"/>
    <w:rsid w:val="78E66175"/>
    <w:rsid w:val="78E94955"/>
    <w:rsid w:val="79D67AD5"/>
    <w:rsid w:val="7A3361A8"/>
    <w:rsid w:val="7C00503C"/>
    <w:rsid w:val="7FDE034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0" w:line="240" w:lineRule="auto"/>
      <w:ind w:firstLine="0" w:firstLineChars="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next w:val="1"/>
    <w:link w:val="10"/>
    <w:unhideWhenUsed/>
    <w:qFormat/>
    <w:uiPriority w:val="99"/>
    <w:pPr>
      <w:tabs>
        <w:tab w:val="center" w:pos="4153"/>
        <w:tab w:val="right" w:pos="8306"/>
      </w:tabs>
      <w:snapToGrid w:val="0"/>
      <w:jc w:val="left"/>
    </w:pPr>
    <w:rPr>
      <w:sz w:val="18"/>
      <w:szCs w:val="18"/>
    </w:rPr>
  </w:style>
  <w:style w:type="paragraph" w:styleId="3">
    <w:name w:val="Balloon Text"/>
    <w:basedOn w:val="1"/>
    <w:link w:val="11"/>
    <w:unhideWhenUsed/>
    <w:qFormat/>
    <w:uiPriority w:val="99"/>
    <w:rPr>
      <w:sz w:val="18"/>
      <w:szCs w:val="18"/>
    </w:rPr>
  </w:style>
  <w:style w:type="paragraph" w:styleId="4">
    <w:name w:val="header"/>
    <w:basedOn w:val="1"/>
    <w:link w:val="9"/>
    <w:unhideWhenUsed/>
    <w:qFormat/>
    <w:uiPriority w:val="99"/>
    <w:pPr>
      <w:tabs>
        <w:tab w:val="center" w:pos="4153"/>
        <w:tab w:val="right" w:pos="8306"/>
      </w:tabs>
      <w:snapToGrid w:val="0"/>
      <w:jc w:val="center"/>
    </w:pPr>
    <w:rPr>
      <w:sz w:val="18"/>
      <w:szCs w:val="18"/>
    </w:rPr>
  </w:style>
  <w:style w:type="character" w:styleId="6">
    <w:name w:val="page number"/>
    <w:basedOn w:val="5"/>
    <w:qFormat/>
    <w:uiPriority w:val="0"/>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
    <w:name w:val="页眉 Char"/>
    <w:basedOn w:val="5"/>
    <w:link w:val="4"/>
    <w:qFormat/>
    <w:uiPriority w:val="99"/>
    <w:rPr>
      <w:kern w:val="2"/>
      <w:sz w:val="18"/>
      <w:szCs w:val="18"/>
    </w:rPr>
  </w:style>
  <w:style w:type="character" w:customStyle="1" w:styleId="10">
    <w:name w:val="页脚 Char"/>
    <w:basedOn w:val="5"/>
    <w:link w:val="2"/>
    <w:qFormat/>
    <w:uiPriority w:val="99"/>
    <w:rPr>
      <w:kern w:val="2"/>
      <w:sz w:val="18"/>
      <w:szCs w:val="18"/>
    </w:rPr>
  </w:style>
  <w:style w:type="character" w:customStyle="1" w:styleId="11">
    <w:name w:val="批注框文本 Char"/>
    <w:basedOn w:val="5"/>
    <w:link w:val="3"/>
    <w:semiHidden/>
    <w:qFormat/>
    <w:uiPriority w:val="99"/>
    <w:rPr>
      <w:kern w:val="2"/>
      <w:sz w:val="18"/>
      <w:szCs w:val="18"/>
    </w:rPr>
  </w:style>
  <w:style w:type="character" w:customStyle="1" w:styleId="12">
    <w:name w:val="font11"/>
    <w:basedOn w:val="5"/>
    <w:qFormat/>
    <w:uiPriority w:val="0"/>
    <w:rPr>
      <w:rFonts w:hint="default" w:ascii="Times New Roman" w:hAnsi="Times New Roman" w:cs="Times New Roman"/>
      <w:color w:val="000000"/>
      <w:sz w:val="22"/>
      <w:szCs w:val="22"/>
      <w:u w:val="none"/>
    </w:rPr>
  </w:style>
  <w:style w:type="character" w:customStyle="1" w:styleId="13">
    <w:name w:val="font21"/>
    <w:basedOn w:val="5"/>
    <w:qFormat/>
    <w:uiPriority w:val="0"/>
    <w:rPr>
      <w:rFonts w:hint="eastAsia" w:ascii="宋体" w:hAnsi="宋体" w:eastAsia="宋体" w:cs="宋体"/>
      <w:color w:val="000000"/>
      <w:sz w:val="22"/>
      <w:szCs w:val="22"/>
      <w:u w:val="none"/>
    </w:rPr>
  </w:style>
  <w:style w:type="paragraph" w:customStyle="1" w:styleId="14">
    <w:name w:val="列出段落1"/>
    <w:basedOn w:val="1"/>
    <w:qFormat/>
    <w:uiPriority w:val="0"/>
    <w:pPr>
      <w:ind w:firstLine="420" w:firstLineChars="200"/>
    </w:pPr>
    <w:rPr>
      <w:rFonts w:ascii="Calibri" w:hAnsi="Calibri" w:eastAsia="宋体" w:cs="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C.Y.H(201411)</Company>
  <Pages>2</Pages>
  <Words>30</Words>
  <Characters>175</Characters>
  <Lines>1</Lines>
  <Paragraphs>1</Paragraphs>
  <TotalTime>11</TotalTime>
  <ScaleCrop>false</ScaleCrop>
  <LinksUpToDate>false</LinksUpToDate>
  <CharactersWithSpaces>204</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2017-08-14T09:04:00Z</dcterms:created>
  <dc:creator>cm</dc:creator>
  <cp:lastModifiedBy>THE NEXT</cp:lastModifiedBy>
  <cp:lastPrinted>2023-02-10T01:00:13Z</cp:lastPrinted>
  <dcterms:modified xsi:type="dcterms:W3CDTF">2023-02-10T01:00:43Z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