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spacing w:line="560" w:lineRule="exact"/>
        <w:jc w:val="center"/>
        <w:textAlignment w:val="auto"/>
        <w:outlineLvl w:val="9"/>
        <w:rPr>
          <w:rFonts w:hint="eastAsia" w:ascii="方正小标宋简体" w:hAnsi="方正小标宋简体" w:eastAsia="方正小标宋简体" w:cs="方正小标宋简体"/>
          <w:sz w:val="44"/>
          <w:szCs w:val="44"/>
          <w:lang w:val="en-US" w:eastAsia="zh-CN"/>
        </w:rPr>
      </w:pPr>
      <w:bookmarkStart w:id="0" w:name="_GoBack"/>
      <w:bookmarkEnd w:id="0"/>
      <w:r>
        <w:rPr>
          <w:rFonts w:hint="eastAsia" w:ascii="方正小标宋简体" w:hAnsi="方正小标宋简体" w:eastAsia="方正小标宋简体" w:cs="方正小标宋简体"/>
          <w:sz w:val="44"/>
          <w:szCs w:val="44"/>
          <w:lang w:val="en-US" w:eastAsia="zh-CN"/>
        </w:rPr>
        <w:t>崇明区优化住宅工程关键节点设计管控</w:t>
      </w:r>
    </w:p>
    <w:p>
      <w:pPr>
        <w:keepNext w:val="0"/>
        <w:keepLines w:val="0"/>
        <w:pageBreakBefore w:val="0"/>
        <w:widowControl w:val="0"/>
        <w:kinsoku/>
        <w:wordWrap/>
        <w:overflowPunct/>
        <w:topLinePunct w:val="0"/>
        <w:autoSpaceDE/>
        <w:autoSpaceDN/>
        <w:bidi w:val="0"/>
        <w:adjustRightInd w:val="0"/>
        <w:snapToGrid/>
        <w:spacing w:line="560" w:lineRule="exact"/>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实施方案</w:t>
      </w: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val="0"/>
        <w:topLinePunct w:val="0"/>
        <w:autoSpaceDE/>
        <w:autoSpaceDN/>
        <w:bidi w:val="0"/>
        <w:adjustRightInd w:val="0"/>
        <w:snapToGrid/>
        <w:spacing w:line="560" w:lineRule="exact"/>
        <w:ind w:firstLine="640" w:firstLineChars="200"/>
        <w:jc w:val="both"/>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为</w:t>
      </w:r>
      <w:r>
        <w:rPr>
          <w:rFonts w:hint="eastAsia" w:ascii="仿宋_GB2312" w:hAnsi="仿宋_GB2312" w:eastAsia="仿宋_GB2312" w:cs="仿宋_GB2312"/>
          <w:color w:val="auto"/>
          <w:sz w:val="32"/>
          <w:szCs w:val="32"/>
          <w:lang w:eastAsia="zh-CN"/>
        </w:rPr>
        <w:t>深入践行人民城市重要理念，推动建设工程领域新质生产力发展，贯彻落实“建设好房子”的部署要求，强化住宅工程质量通病的源头治理，进一步提升住房品质，根据《上海市住房城乡建设管理委员会关于进一步加强本市新建住宅工程设计质量管控的通知》</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沪建质安</w:t>
      </w:r>
      <w:r>
        <w:rPr>
          <w:rFonts w:hint="eastAsia" w:ascii="仿宋_GB2312" w:hAnsi="仿宋_GB2312" w:eastAsia="仿宋_GB2312" w:cs="仿宋_GB2312"/>
          <w:sz w:val="32"/>
          <w:szCs w:val="32"/>
        </w:rPr>
        <w:t>〔202</w:t>
      </w: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rPr>
        <w:t>〕</w:t>
      </w:r>
      <w:r>
        <w:rPr>
          <w:rFonts w:hint="eastAsia" w:ascii="仿宋_GB2312" w:hAnsi="仿宋_GB2312" w:cs="仿宋_GB2312"/>
          <w:sz w:val="32"/>
          <w:szCs w:val="32"/>
          <w:lang w:val="en-US" w:eastAsia="zh-CN"/>
        </w:rPr>
        <w:t>417</w:t>
      </w:r>
      <w:r>
        <w:rPr>
          <w:rFonts w:hint="eastAsia" w:ascii="仿宋_GB2312" w:hAnsi="仿宋_GB2312" w:eastAsia="仿宋_GB2312" w:cs="仿宋_GB2312"/>
          <w:sz w:val="32"/>
          <w:szCs w:val="32"/>
        </w:rPr>
        <w:t>号）</w:t>
      </w:r>
      <w:r>
        <w:rPr>
          <w:rFonts w:hint="eastAsia" w:ascii="仿宋_GB2312" w:hAnsi="仿宋_GB2312" w:eastAsia="仿宋_GB2312" w:cs="仿宋_GB2312"/>
          <w:color w:val="auto"/>
          <w:sz w:val="32"/>
          <w:szCs w:val="32"/>
        </w:rPr>
        <w:t>要求，结合</w:t>
      </w:r>
      <w:r>
        <w:rPr>
          <w:rFonts w:hint="eastAsia" w:ascii="仿宋_GB2312" w:hAnsi="仿宋_GB2312" w:eastAsia="仿宋_GB2312" w:cs="仿宋_GB2312"/>
          <w:color w:val="auto"/>
          <w:sz w:val="32"/>
          <w:szCs w:val="32"/>
          <w:lang w:eastAsia="zh-CN"/>
        </w:rPr>
        <w:t>本区</w:t>
      </w:r>
      <w:r>
        <w:rPr>
          <w:rFonts w:hint="eastAsia" w:ascii="仿宋_GB2312" w:hAnsi="仿宋_GB2312" w:eastAsia="仿宋_GB2312" w:cs="仿宋_GB2312"/>
          <w:color w:val="auto"/>
          <w:sz w:val="32"/>
          <w:szCs w:val="32"/>
        </w:rPr>
        <w:t>工作实际，制定本实施方案。</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一、实施范围</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本区新建住宅工程。</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w:t>
      </w:r>
      <w:r>
        <w:rPr>
          <w:rFonts w:hint="eastAsia" w:ascii="黑体" w:hAnsi="黑体" w:eastAsia="黑体" w:cs="黑体"/>
          <w:sz w:val="32"/>
          <w:szCs w:val="32"/>
          <w:lang w:eastAsia="zh-CN"/>
        </w:rPr>
        <w:t>管控主要内容</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(一)设计项目负责人应当对涉及居住品质的住宅工程关键节点予以重点关注，组织设计人员汇总相关设计内容在施工图中编制“住宅工程关键节点设计专篇”:</w:t>
      </w:r>
    </w:p>
    <w:p>
      <w:pPr>
        <w:pStyle w:val="2"/>
        <w:keepNext w:val="0"/>
        <w:keepLines w:val="0"/>
        <w:pageBreakBefore w:val="0"/>
        <w:kinsoku/>
        <w:wordWrap/>
        <w:topLinePunct w:val="0"/>
        <w:autoSpaceDE/>
        <w:autoSpaceDN/>
        <w:bidi w:val="0"/>
        <w:adjustRightInd w:val="0"/>
        <w:snapToGrid/>
        <w:spacing w:before="34" w:line="560" w:lineRule="exact"/>
        <w:ind w:right="81" w:firstLine="66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1.预制外墙接缝、外门窗洞口、预制阳台板根部接缝、厨房、卫生间、敞开连廊、直接接触土壤的墙板、变形缝、屋面等部位，设计应当考虑防渗漏的加强措施和防雨水倒灌、顺畅排水的措施；</w:t>
      </w:r>
    </w:p>
    <w:p>
      <w:pPr>
        <w:pStyle w:val="2"/>
        <w:keepNext w:val="0"/>
        <w:keepLines w:val="0"/>
        <w:pageBreakBefore w:val="0"/>
        <w:kinsoku/>
        <w:wordWrap/>
        <w:topLinePunct w:val="0"/>
        <w:autoSpaceDE/>
        <w:autoSpaceDN/>
        <w:bidi w:val="0"/>
        <w:adjustRightInd w:val="0"/>
        <w:snapToGrid/>
        <w:spacing w:before="32" w:line="560" w:lineRule="exact"/>
        <w:ind w:right="49" w:firstLine="66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2.有坡度或散水要求的地坪，设计选用的面层材料、规格还应结合施工难易程度、地面摩擦系数控制性要求等进行综合考虑；</w:t>
      </w:r>
    </w:p>
    <w:p>
      <w:pPr>
        <w:pStyle w:val="2"/>
        <w:keepNext w:val="0"/>
        <w:keepLines w:val="0"/>
        <w:pageBreakBefore w:val="0"/>
        <w:kinsoku/>
        <w:wordWrap/>
        <w:topLinePunct w:val="0"/>
        <w:autoSpaceDE/>
        <w:autoSpaceDN/>
        <w:bidi w:val="0"/>
        <w:adjustRightInd w:val="0"/>
        <w:snapToGrid/>
        <w:spacing w:before="32" w:line="560" w:lineRule="exact"/>
        <w:ind w:right="49" w:firstLine="66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3.应当对门窗、公共走道完成面净尺寸提出控制性要求；</w:t>
      </w:r>
    </w:p>
    <w:p>
      <w:pPr>
        <w:pStyle w:val="2"/>
        <w:keepNext w:val="0"/>
        <w:keepLines w:val="0"/>
        <w:pageBreakBefore w:val="0"/>
        <w:kinsoku/>
        <w:wordWrap/>
        <w:topLinePunct w:val="0"/>
        <w:autoSpaceDE/>
        <w:autoSpaceDN/>
        <w:bidi w:val="0"/>
        <w:adjustRightInd w:val="0"/>
        <w:snapToGrid/>
        <w:spacing w:before="192" w:line="560" w:lineRule="exact"/>
        <w:ind w:firstLine="66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4.设计应当明确预制外墙墙面与接缝处的防水材料，以及考虑防水材料与外墙涂料的兼容性，如设计选用防水密封胶，应避免密封胶胶缝外侧被其他干硬性材料覆盖；</w:t>
      </w:r>
    </w:p>
    <w:p>
      <w:pPr>
        <w:pStyle w:val="2"/>
        <w:keepNext w:val="0"/>
        <w:keepLines w:val="0"/>
        <w:pageBreakBefore w:val="0"/>
        <w:kinsoku/>
        <w:wordWrap/>
        <w:topLinePunct w:val="0"/>
        <w:autoSpaceDE/>
        <w:autoSpaceDN/>
        <w:bidi w:val="0"/>
        <w:adjustRightInd w:val="0"/>
        <w:snapToGrid/>
        <w:spacing w:before="111" w:line="560" w:lineRule="exact"/>
        <w:ind w:right="28"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5.外墙保温一体化系统，保温材料的性能、连接节点、构造措施应进行专门设计，并对连接件的材料、性能和安装提出要求；</w:t>
      </w:r>
    </w:p>
    <w:p>
      <w:pPr>
        <w:pStyle w:val="2"/>
        <w:keepNext w:val="0"/>
        <w:keepLines w:val="0"/>
        <w:pageBreakBefore w:val="0"/>
        <w:kinsoku/>
        <w:wordWrap/>
        <w:topLinePunct w:val="0"/>
        <w:autoSpaceDE/>
        <w:autoSpaceDN/>
        <w:bidi w:val="0"/>
        <w:adjustRightInd w:val="0"/>
        <w:snapToGrid/>
        <w:spacing w:before="111" w:line="560" w:lineRule="exact"/>
        <w:ind w:right="28"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6.对住宅外立面的围护或装饰材料如何与住宅主体结构可靠连接应当提出设计要求；</w:t>
      </w:r>
    </w:p>
    <w:p>
      <w:pPr>
        <w:pStyle w:val="2"/>
        <w:keepNext w:val="0"/>
        <w:keepLines w:val="0"/>
        <w:pageBreakBefore w:val="0"/>
        <w:kinsoku/>
        <w:wordWrap/>
        <w:topLinePunct w:val="0"/>
        <w:autoSpaceDE/>
        <w:autoSpaceDN/>
        <w:bidi w:val="0"/>
        <w:adjustRightInd w:val="0"/>
        <w:snapToGrid/>
        <w:spacing w:before="57" w:line="560" w:lineRule="exact"/>
        <w:ind w:right="31" w:firstLine="67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7.对墙体饰面材料的锚固或拉伸粘结强度应当提出设计要求；</w:t>
      </w:r>
    </w:p>
    <w:p>
      <w:pPr>
        <w:pStyle w:val="2"/>
        <w:keepNext w:val="0"/>
        <w:keepLines w:val="0"/>
        <w:pageBreakBefore w:val="0"/>
        <w:kinsoku/>
        <w:wordWrap/>
        <w:topLinePunct w:val="0"/>
        <w:autoSpaceDE/>
        <w:autoSpaceDN/>
        <w:bidi w:val="0"/>
        <w:adjustRightInd w:val="0"/>
        <w:snapToGrid/>
        <w:spacing w:before="57" w:line="560" w:lineRule="exact"/>
        <w:ind w:right="31" w:firstLine="67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8.排水管有水封设计要求时，水封深度不应小于50mm;</w:t>
      </w:r>
    </w:p>
    <w:p>
      <w:pPr>
        <w:pStyle w:val="2"/>
        <w:keepNext w:val="0"/>
        <w:keepLines w:val="0"/>
        <w:pageBreakBefore w:val="0"/>
        <w:kinsoku/>
        <w:wordWrap/>
        <w:topLinePunct w:val="0"/>
        <w:autoSpaceDE/>
        <w:autoSpaceDN/>
        <w:bidi w:val="0"/>
        <w:adjustRightInd w:val="0"/>
        <w:snapToGrid/>
        <w:spacing w:before="57" w:line="560" w:lineRule="exact"/>
        <w:ind w:right="31" w:firstLine="67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9.对住宅套内空调形式、空调机位置及管线布置、室外机座板位置及净尺寸进行统筹考虑；</w:t>
      </w:r>
    </w:p>
    <w:p>
      <w:pPr>
        <w:pStyle w:val="2"/>
        <w:keepNext w:val="0"/>
        <w:keepLines w:val="0"/>
        <w:pageBreakBefore w:val="0"/>
        <w:kinsoku/>
        <w:wordWrap/>
        <w:topLinePunct w:val="0"/>
        <w:autoSpaceDE/>
        <w:autoSpaceDN/>
        <w:bidi w:val="0"/>
        <w:adjustRightInd w:val="0"/>
        <w:snapToGrid/>
        <w:spacing w:before="75" w:line="560" w:lineRule="exact"/>
        <w:ind w:left="67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10.对燃气锅炉安装位置进行专门设计；</w:t>
      </w:r>
    </w:p>
    <w:p>
      <w:pPr>
        <w:pStyle w:val="2"/>
        <w:keepNext w:val="0"/>
        <w:keepLines w:val="0"/>
        <w:pageBreakBefore w:val="0"/>
        <w:kinsoku/>
        <w:wordWrap/>
        <w:topLinePunct w:val="0"/>
        <w:autoSpaceDE/>
        <w:autoSpaceDN/>
        <w:bidi w:val="0"/>
        <w:adjustRightInd w:val="0"/>
        <w:snapToGrid/>
        <w:spacing w:before="57" w:line="560" w:lineRule="exact"/>
        <w:ind w:right="31" w:firstLine="67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11.对紧邻变配电间、水泵房、电梯设备的居住空间应当考虑隔声降噪措施；</w:t>
      </w:r>
    </w:p>
    <w:p>
      <w:pPr>
        <w:pStyle w:val="2"/>
        <w:keepNext w:val="0"/>
        <w:keepLines w:val="0"/>
        <w:pageBreakBefore w:val="0"/>
        <w:kinsoku/>
        <w:wordWrap/>
        <w:topLinePunct w:val="0"/>
        <w:autoSpaceDE/>
        <w:autoSpaceDN/>
        <w:bidi w:val="0"/>
        <w:adjustRightInd w:val="0"/>
        <w:snapToGrid/>
        <w:spacing w:before="75" w:line="560" w:lineRule="exact"/>
        <w:ind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12.对预防地下室渗漏提出设计要求，地下室桩头、止水螺杆、穿墙板套管、后浇带、变形缝等细部构造的防水设计应当明确适用的标准和图集；</w:t>
      </w:r>
    </w:p>
    <w:p>
      <w:pPr>
        <w:pStyle w:val="2"/>
        <w:keepNext w:val="0"/>
        <w:keepLines w:val="0"/>
        <w:pageBreakBefore w:val="0"/>
        <w:kinsoku/>
        <w:wordWrap/>
        <w:topLinePunct w:val="0"/>
        <w:autoSpaceDE/>
        <w:autoSpaceDN/>
        <w:bidi w:val="0"/>
        <w:adjustRightInd w:val="0"/>
        <w:snapToGrid/>
        <w:spacing w:before="57" w:line="560" w:lineRule="exact"/>
        <w:ind w:right="24" w:firstLine="67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13.地下室室外顶板结构构件迎水面最大裂缝宽度不应大 于0.2mm,地下室底板、外墙结构构件迎水面最大裂缝宽度不宜大于0.2mm;</w:t>
      </w:r>
    </w:p>
    <w:p>
      <w:pPr>
        <w:pStyle w:val="2"/>
        <w:keepNext w:val="0"/>
        <w:keepLines w:val="0"/>
        <w:pageBreakBefore w:val="0"/>
        <w:kinsoku/>
        <w:wordWrap/>
        <w:topLinePunct w:val="0"/>
        <w:autoSpaceDE/>
        <w:autoSpaceDN/>
        <w:bidi w:val="0"/>
        <w:adjustRightInd w:val="0"/>
        <w:snapToGrid/>
        <w:spacing w:before="57" w:line="560" w:lineRule="exact"/>
        <w:ind w:right="24" w:firstLine="67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14.机动车库楼地面设计应当采用强度高、具有耐磨防滑 性能的面层材料，不应采用水泥砂浆作为面层材料；当采用金刚砂或环氧树脂漆耐磨面层时，其找平层混凝土强度等级不应低于C25, 当采用细石混凝土面层时，其混凝土强度等级不应低于C30;</w:t>
      </w:r>
    </w:p>
    <w:p>
      <w:pPr>
        <w:pStyle w:val="2"/>
        <w:keepNext w:val="0"/>
        <w:keepLines w:val="0"/>
        <w:pageBreakBefore w:val="0"/>
        <w:kinsoku/>
        <w:wordWrap/>
        <w:topLinePunct w:val="0"/>
        <w:autoSpaceDE/>
        <w:autoSpaceDN/>
        <w:bidi w:val="0"/>
        <w:adjustRightInd w:val="0"/>
        <w:snapToGrid/>
        <w:spacing w:before="57" w:line="560" w:lineRule="exact"/>
        <w:ind w:right="24" w:firstLine="67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15.室内地面保温保护层，不应采用水泥砂浆，保护层材料、厚度应当满足强度和抗裂性要求；</w:t>
      </w:r>
    </w:p>
    <w:p>
      <w:pPr>
        <w:pStyle w:val="2"/>
        <w:keepNext w:val="0"/>
        <w:keepLines w:val="0"/>
        <w:pageBreakBefore w:val="0"/>
        <w:kinsoku/>
        <w:wordWrap/>
        <w:topLinePunct w:val="0"/>
        <w:autoSpaceDE/>
        <w:autoSpaceDN/>
        <w:bidi w:val="0"/>
        <w:adjustRightInd w:val="0"/>
        <w:snapToGrid/>
        <w:spacing w:before="69" w:line="560" w:lineRule="exact"/>
        <w:ind w:firstLine="679"/>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16.对屋面溢流口、地漏等交付后易造成积水的部位，设计应当考虑屋面构造做法，明确完成面尺寸、标高及坡度要求；</w:t>
      </w:r>
    </w:p>
    <w:p>
      <w:pPr>
        <w:pStyle w:val="2"/>
        <w:keepNext w:val="0"/>
        <w:keepLines w:val="0"/>
        <w:pageBreakBefore w:val="0"/>
        <w:kinsoku/>
        <w:wordWrap/>
        <w:topLinePunct w:val="0"/>
        <w:autoSpaceDE/>
        <w:autoSpaceDN/>
        <w:bidi w:val="0"/>
        <w:adjustRightInd w:val="0"/>
        <w:snapToGrid/>
        <w:spacing w:before="50" w:line="560" w:lineRule="exact"/>
        <w:ind w:right="84" w:firstLine="679"/>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17.地下室配电系统应当预留通风、除湿设备用电容量。位于地下室或半地下室的配电间应当设置防水淹措施，并预留除湿设备电源；</w:t>
      </w:r>
    </w:p>
    <w:p>
      <w:pPr>
        <w:pStyle w:val="2"/>
        <w:keepNext w:val="0"/>
        <w:keepLines w:val="0"/>
        <w:pageBreakBefore w:val="0"/>
        <w:kinsoku/>
        <w:wordWrap/>
        <w:topLinePunct w:val="0"/>
        <w:autoSpaceDE/>
        <w:autoSpaceDN/>
        <w:bidi w:val="0"/>
        <w:adjustRightInd w:val="0"/>
        <w:snapToGrid/>
        <w:spacing w:before="70" w:line="560" w:lineRule="exact"/>
        <w:ind w:right="39" w:firstLine="679"/>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18.管道井的断面尺寸应当满足管道安装、检修所需空间 的要求。</w:t>
      </w:r>
    </w:p>
    <w:p>
      <w:pPr>
        <w:pStyle w:val="2"/>
        <w:keepNext w:val="0"/>
        <w:keepLines w:val="0"/>
        <w:pageBreakBefore w:val="0"/>
        <w:kinsoku/>
        <w:wordWrap/>
        <w:topLinePunct w:val="0"/>
        <w:autoSpaceDE/>
        <w:autoSpaceDN/>
        <w:bidi w:val="0"/>
        <w:adjustRightInd w:val="0"/>
        <w:snapToGrid/>
        <w:spacing w:before="83" w:line="560" w:lineRule="exact"/>
        <w:ind w:right="32" w:firstLine="819"/>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(二)建设单位的勘察设计质量主管人员应当督促设计项 目负责人落实工程设计管理和施工现场服务工作。设计项目负责人应当组织设计人员在施工现场服务工作中对“住宅工程关键节点设计专篇”进行重点设计交底，结合施工进度对关键节点施工落实情况进行现场指导。</w:t>
      </w:r>
    </w:p>
    <w:p>
      <w:pPr>
        <w:pStyle w:val="2"/>
        <w:keepNext w:val="0"/>
        <w:keepLines w:val="0"/>
        <w:pageBreakBefore w:val="0"/>
        <w:kinsoku/>
        <w:wordWrap/>
        <w:topLinePunct w:val="0"/>
        <w:autoSpaceDE/>
        <w:autoSpaceDN/>
        <w:bidi w:val="0"/>
        <w:adjustRightInd w:val="0"/>
        <w:snapToGrid/>
        <w:spacing w:before="83" w:line="560" w:lineRule="exact"/>
        <w:ind w:right="32" w:firstLine="819"/>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三)住宅工程设计选择采用新技术、新材料应当征得建设单位同意。新技术、新材料可能影响建设工程质量和安全，又没有相关技术标准的，设计单位应当以市住房城乡建设管理委的技术论证意见作为设计依据，并对施工和日常运维提出具体设计要求。</w:t>
      </w:r>
    </w:p>
    <w:p>
      <w:pPr>
        <w:pStyle w:val="2"/>
        <w:keepNext w:val="0"/>
        <w:keepLines w:val="0"/>
        <w:pageBreakBefore w:val="0"/>
        <w:kinsoku/>
        <w:wordWrap/>
        <w:topLinePunct w:val="0"/>
        <w:autoSpaceDE/>
        <w:autoSpaceDN/>
        <w:bidi w:val="0"/>
        <w:adjustRightInd w:val="0"/>
        <w:snapToGrid/>
        <w:spacing w:before="83" w:line="560" w:lineRule="exact"/>
        <w:ind w:right="32" w:firstLine="819"/>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(四)采用装配式混凝土结构的住宅工程，设计单位应当严格按照相关标准及设计深度规定开展装配式施工图设计，设计深度必须满足预制构件安装施工要求。</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上述措施汇总形成《崇明区住宅工程关键节点设计管控措施》（简称《管控措施》），由区建设管理委另行发文明确。在新建住宅工程建设全流程采取措施落实《管控措施》的技术要求，从源头上防治住宅工程常见质量问题。</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三、部门分工</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（一）区建设管理委</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负责综合管理、统筹推进本区住宅工程关键节点设计管控。负责督促建设单位组织编制“住宅工程关键节点设计专篇”（简称“设计专篇”）并报送施工图审查，并针对“设计专篇”的落实情况加强在施工阶段的事中事后监管。</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（二）区规划资源局</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负责在编制住宅地块土地出让文件时，根据区建设管理委征询回复意见，将落实本方案管控要求列为土地出让条件，并纳入土地出让合同。加强审核住宅项目规划内容变更申请。</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（三）区住房保障房屋管理局</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负责将管控要求列入与保障房项目建设单位签订的《建设项目协议书》和《上海市保障性住房配建建设项目协议书》，督促建设单位严格执行。</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四、各方责任</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建设单位在新建住宅工程质量管控中应落实首要责任制；方案设计阶段应购买住宅质量潜在缺陷保险并要求保险公司的风险管理机构（简称TIS机构）从方案设计阶段进行源头风险控制；施工图设计阶段应落实专人督促设计单位编制“设计专篇”并报送施工图审查机构进行审查；施工阶段应组织施工单位编制“住宅工程关键节点施工方案”（简称“施工方案”）；综合竣工验收阶段应要求施工单位在工程竣工报告中说明关键节点管控措施落实情况。</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设计单位在施工图设计阶段应编制“设计专篇”，在施工阶段应就“设计专篇”向施工单位作专项交底。</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施工单位应根据“设计专篇”的要求编制“施工方案”，在施工中严格落实相关技术要求，完善施工质量管控制度，通过工程例会、技术交底等方式，确保相关技术要求落实到位，并将工程最终管控措施落实情况编入竣工报告。</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监理单位应对“施工方案”进行审核，在施工过程中针对专项施工内容开展全过程监管，确保“设计专篇”技术要求在施工阶段得到落实。</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000000"/>
          <w:kern w:val="0"/>
          <w:sz w:val="32"/>
          <w:szCs w:val="32"/>
          <w:lang w:val="en-US" w:eastAsia="zh-CN" w:bidi="ar"/>
        </w:rPr>
        <w:t>TIS机构应在方案设计阶段介入，对“设计专篇”的编制深度及合规性进行核查；在施工阶段应对“设计专篇”技术要求落实情况加强监督与抽查，并将管控落实情况编入质量风险最终检查报告。</w:t>
      </w:r>
    </w:p>
    <w:p>
      <w:pPr>
        <w:pStyle w:val="2"/>
        <w:keepNext w:val="0"/>
        <w:keepLines w:val="0"/>
        <w:pageBreakBefore w:val="0"/>
        <w:kinsoku/>
        <w:wordWrap/>
        <w:topLinePunct w:val="0"/>
        <w:autoSpaceDE/>
        <w:autoSpaceDN/>
        <w:bidi w:val="0"/>
        <w:adjustRightInd w:val="0"/>
        <w:snapToGrid/>
        <w:spacing w:before="110"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质量监督机构应当加强本区住宅工程质量的监督管理，将住宅工程关键节点管控措施责任落实情况、功能性实体质量纳入日常质量监督检查内容。对于未按规定落实住宅工程关键节点管控措施的责任单位，应当责令整改；造成负面舆情或群体性事件的，应当及时进行警示，并按照相关规定取消评优资格。</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五、保障措施</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（一）提高责任意识</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相关责任单位应深刻认识提升住宅工程质量的重要意义，强化责任意识，狠抓工作落实，切实提高新建住宅工程的质量水平。各相关部门间应建立相应的联动工作机制，加强沟通联系，统筹协调，形成工作合力。</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（二）建立例会制度</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建立工作例会制度，每季度定期召开住宅工程质量常见问题管控工作例会，强化沟通协调，对相关建设项目进行跟踪，及时解决工作推进过程中出现的困难和问题，不断总结好的经验和做法。</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（三）加强宣传培训</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通过多种形式</w:t>
      </w:r>
      <w:r>
        <w:rPr>
          <w:rFonts w:hint="default" w:ascii="仿宋_GB2312" w:hAnsi="仿宋_GB2312" w:eastAsia="仿宋_GB2312" w:cs="仿宋_GB2312"/>
          <w:color w:val="000000"/>
          <w:kern w:val="0"/>
          <w:sz w:val="32"/>
          <w:szCs w:val="32"/>
          <w:lang w:val="en-US" w:eastAsia="zh-CN" w:bidi="ar"/>
        </w:rPr>
        <w:t>对住宅建设项目各质量责任主体单位进行广泛宣传、动员，深刻认识提升住宅工程质量的重要意义，</w:t>
      </w:r>
      <w:r>
        <w:rPr>
          <w:rFonts w:hint="eastAsia" w:ascii="仿宋_GB2312" w:hAnsi="仿宋_GB2312" w:eastAsia="仿宋_GB2312" w:cs="仿宋_GB2312"/>
          <w:color w:val="000000"/>
          <w:kern w:val="0"/>
          <w:sz w:val="32"/>
          <w:szCs w:val="32"/>
          <w:lang w:val="en-US" w:eastAsia="zh-CN" w:bidi="ar"/>
        </w:rPr>
        <w:t>提高各参建单位</w:t>
      </w:r>
      <w:r>
        <w:rPr>
          <w:rFonts w:hint="default" w:ascii="仿宋_GB2312" w:hAnsi="仿宋_GB2312" w:eastAsia="仿宋_GB2312" w:cs="仿宋_GB2312"/>
          <w:color w:val="000000"/>
          <w:kern w:val="0"/>
          <w:sz w:val="32"/>
          <w:szCs w:val="32"/>
          <w:lang w:val="en-US" w:eastAsia="zh-CN" w:bidi="ar"/>
        </w:rPr>
        <w:t>责任意识</w:t>
      </w:r>
      <w:r>
        <w:rPr>
          <w:rFonts w:hint="eastAsia" w:ascii="仿宋_GB2312" w:hAnsi="仿宋_GB2312" w:eastAsia="仿宋_GB2312" w:cs="仿宋_GB2312"/>
          <w:color w:val="000000"/>
          <w:kern w:val="0"/>
          <w:sz w:val="32"/>
          <w:szCs w:val="32"/>
          <w:lang w:val="en-US" w:eastAsia="zh-CN" w:bidi="ar"/>
        </w:rPr>
        <w:t>与管理水平</w:t>
      </w:r>
      <w:r>
        <w:rPr>
          <w:rFonts w:hint="default" w:ascii="仿宋_GB2312" w:hAnsi="仿宋_GB2312" w:eastAsia="仿宋_GB2312" w:cs="仿宋_GB2312"/>
          <w:color w:val="000000"/>
          <w:kern w:val="0"/>
          <w:sz w:val="32"/>
          <w:szCs w:val="32"/>
          <w:lang w:val="en-US" w:eastAsia="zh-CN" w:bidi="ar"/>
        </w:rPr>
        <w:t>，切实提高新建住宅工程质量。</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（四）持续总结提升</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持续对住宅工程常见质量问题的成因和解决措施开展研究，总结更多适用于住宅工程质量提升的管控方法，形成可复制可推广的经验。</w:t>
      </w:r>
    </w:p>
    <w:p>
      <w:pPr>
        <w:keepNext w:val="0"/>
        <w:keepLines w:val="0"/>
        <w:pageBreakBefore w:val="0"/>
        <w:widowControl/>
        <w:suppressLineNumbers w:val="0"/>
        <w:kinsoku/>
        <w:wordWrap/>
        <w:overflowPunct/>
        <w:topLinePunct w:val="0"/>
        <w:autoSpaceDE/>
        <w:autoSpaceDN/>
        <w:bidi w:val="0"/>
        <w:adjustRightInd w:val="0"/>
        <w:snapToGrid/>
        <w:spacing w:line="560" w:lineRule="exact"/>
        <w:jc w:val="both"/>
        <w:textAlignment w:val="auto"/>
        <w:rPr>
          <w:rFonts w:hint="eastAsia" w:ascii="仿宋_GB2312" w:hAnsi="仿宋_GB2312" w:eastAsia="仿宋_GB2312" w:cs="仿宋_GB2312"/>
          <w:color w:val="000000"/>
          <w:kern w:val="0"/>
          <w:sz w:val="32"/>
          <w:szCs w:val="32"/>
          <w:lang w:val="en-US" w:eastAsia="zh-CN" w:bidi="ar"/>
        </w:rPr>
      </w:pPr>
    </w:p>
    <w:p>
      <w:pPr>
        <w:keepNext w:val="0"/>
        <w:keepLines w:val="0"/>
        <w:pageBreakBefore w:val="0"/>
        <w:kinsoku/>
        <w:wordWrap/>
        <w:overflowPunct/>
        <w:topLinePunct w:val="0"/>
        <w:autoSpaceDE/>
        <w:autoSpaceDN/>
        <w:bidi w:val="0"/>
        <w:adjustRightInd w:val="0"/>
        <w:snapToGrid/>
        <w:spacing w:line="560" w:lineRule="exact"/>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附件</w:t>
      </w:r>
      <w:r>
        <w:rPr>
          <w:rFonts w:hint="eastAsia" w:ascii="仿宋_GB2312" w:hAnsi="仿宋_GB2312" w:eastAsia="仿宋_GB2312" w:cs="仿宋_GB2312"/>
          <w:color w:val="auto"/>
          <w:sz w:val="32"/>
          <w:szCs w:val="32"/>
          <w:lang w:val="en-US" w:eastAsia="zh-CN"/>
        </w:rPr>
        <w:t>1：崇明区住宅工程关键节点设计管控措施</w:t>
      </w:r>
    </w:p>
    <w:p>
      <w:pPr>
        <w:keepNext w:val="0"/>
        <w:keepLines w:val="0"/>
        <w:pageBreakBefore w:val="0"/>
        <w:widowControl/>
        <w:suppressLineNumbers w:val="0"/>
        <w:kinsoku/>
        <w:wordWrap/>
        <w:overflowPunct/>
        <w:topLinePunct w:val="0"/>
        <w:autoSpaceDE/>
        <w:autoSpaceDN/>
        <w:bidi w:val="0"/>
        <w:adjustRightInd w:val="0"/>
        <w:snapToGrid/>
        <w:spacing w:line="560" w:lineRule="exact"/>
        <w:jc w:val="both"/>
        <w:textAlignment w:val="auto"/>
        <w:rPr>
          <w:rFonts w:hint="eastAsia" w:ascii="仿宋_GB2312" w:hAnsi="仿宋_GB2312" w:eastAsia="仿宋_GB2312" w:cs="仿宋_GB2312"/>
          <w:color w:val="000000"/>
          <w:kern w:val="0"/>
          <w:sz w:val="32"/>
          <w:szCs w:val="32"/>
          <w:lang w:val="en-US" w:eastAsia="zh-CN" w:bidi="ar"/>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highlight w:val="none"/>
          <w:lang w:val="en-US" w:eastAsia="zh-CN"/>
        </w:rPr>
      </w:pPr>
      <w:r>
        <w:rPr>
          <w:rFonts w:hint="eastAsia" w:ascii="仿宋_GB2312" w:hAnsi="仿宋_GB2312" w:eastAsia="仿宋_GB2312" w:cs="仿宋_GB2312"/>
          <w:color w:val="auto"/>
          <w:sz w:val="32"/>
          <w:szCs w:val="32"/>
          <w:lang w:eastAsia="zh-CN"/>
        </w:rPr>
        <w:t>附件</w:t>
      </w:r>
      <w:r>
        <w:rPr>
          <w:rFonts w:hint="eastAsia" w:ascii="仿宋_GB2312" w:hAnsi="仿宋_GB2312" w:eastAsia="仿宋_GB2312" w:cs="仿宋_GB2312"/>
          <w:color w:val="auto"/>
          <w:sz w:val="32"/>
          <w:szCs w:val="32"/>
          <w:lang w:val="en-US" w:eastAsia="zh-CN"/>
        </w:rPr>
        <w:t>1</w:t>
      </w:r>
    </w:p>
    <w:p>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方正小标宋简体" w:hAnsi="方正小标宋简体" w:eastAsia="方正小标宋简体" w:cs="方正小标宋简体"/>
          <w:sz w:val="44"/>
          <w:szCs w:val="44"/>
          <w:highlight w:val="none"/>
          <w:lang w:val="en-US" w:eastAsia="zh-CN"/>
        </w:rPr>
      </w:pPr>
    </w:p>
    <w:p>
      <w:pPr>
        <w:keepNext w:val="0"/>
        <w:keepLines w:val="0"/>
        <w:pageBreakBefore w:val="0"/>
        <w:widowControl w:val="0"/>
        <w:kinsoku/>
        <w:wordWrap/>
        <w:overflowPunct/>
        <w:topLinePunct w:val="0"/>
        <w:autoSpaceDE/>
        <w:autoSpaceDN/>
        <w:bidi w:val="0"/>
        <w:adjustRightInd w:val="0"/>
        <w:snapToGrid/>
        <w:spacing w:line="560" w:lineRule="exact"/>
        <w:jc w:val="center"/>
        <w:textAlignment w:val="auto"/>
        <w:outlineLvl w:val="9"/>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t>崇明区住宅工程关键节点设计管控措施</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一、外墙</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仿宋_GB2312" w:hAnsi="仿宋_GB2312" w:eastAsia="仿宋_GB2312" w:cs="仿宋_GB2312"/>
          <w:color w:val="000000"/>
          <w:kern w:val="0"/>
          <w:sz w:val="32"/>
          <w:szCs w:val="32"/>
          <w:highlight w:val="none"/>
          <w:lang w:val="en-US" w:eastAsia="zh-CN" w:bidi="ar"/>
        </w:rPr>
        <w:t>1.外墙水平缝、竖向缝应设防渗漏构造。设计单位应有相应的构造详图或标明所参照的详图。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仿宋_GB2312" w:hAnsi="仿宋_GB2312" w:eastAsia="仿宋_GB2312" w:cs="仿宋_GB2312"/>
          <w:color w:val="000000"/>
          <w:kern w:val="0"/>
          <w:sz w:val="32"/>
          <w:szCs w:val="32"/>
          <w:highlight w:val="none"/>
          <w:lang w:val="en-US" w:eastAsia="zh-CN" w:bidi="ar"/>
        </w:rPr>
        <w:t>2.外围护墙板采用嵌入式安装时，底部接缝应采用灌浆连接，不应采用坐浆工艺，以保证水平接缝的密实性。</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仿宋_GB2312" w:hAnsi="仿宋_GB2312" w:eastAsia="仿宋_GB2312" w:cs="仿宋_GB2312"/>
          <w:color w:val="000000"/>
          <w:kern w:val="0"/>
          <w:sz w:val="32"/>
          <w:szCs w:val="32"/>
          <w:highlight w:val="none"/>
          <w:lang w:val="en-US" w:eastAsia="zh-CN" w:bidi="ar"/>
        </w:rPr>
        <w:t>3.外墙密封胶材料应采用双组分改性硅酮密封胶（</w:t>
      </w:r>
      <w:r>
        <w:rPr>
          <w:rFonts w:hint="default" w:ascii="仿宋_GB2312" w:hAnsi="仿宋_GB2312" w:eastAsia="仿宋_GB2312" w:cs="仿宋_GB2312"/>
          <w:color w:val="000000"/>
          <w:kern w:val="0"/>
          <w:sz w:val="32"/>
          <w:szCs w:val="32"/>
          <w:highlight w:val="none"/>
          <w:lang w:val="en-US" w:eastAsia="zh-CN" w:bidi="ar"/>
        </w:rPr>
        <w:t>MS</w:t>
      </w:r>
      <w:r>
        <w:rPr>
          <w:rFonts w:hint="eastAsia" w:ascii="仿宋_GB2312" w:hAnsi="仿宋_GB2312" w:eastAsia="仿宋_GB2312" w:cs="仿宋_GB2312"/>
          <w:color w:val="000000"/>
          <w:kern w:val="0"/>
          <w:sz w:val="32"/>
          <w:szCs w:val="32"/>
          <w:highlight w:val="none"/>
          <w:lang w:val="en-US" w:eastAsia="zh-CN" w:bidi="ar"/>
        </w:rPr>
        <w:t>胶），配合底涂使用。</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仿宋_GB2312" w:hAnsi="仿宋_GB2312" w:eastAsia="仿宋_GB2312" w:cs="仿宋_GB2312"/>
          <w:color w:val="000000"/>
          <w:kern w:val="0"/>
          <w:sz w:val="32"/>
          <w:szCs w:val="32"/>
          <w:highlight w:val="none"/>
          <w:lang w:val="en-US" w:eastAsia="zh-CN" w:bidi="ar"/>
        </w:rPr>
        <w:t>4.夹心保温外墙的密封胶拼缝，应与建筑立面分割线协调一致，胶缝应外露。预制夹心保温外墙的竖向拼缝应在空腔内设置排水管。设计单位应有相应的构造详图或标明所参照的详图。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5</w:t>
      </w:r>
      <w:r>
        <w:rPr>
          <w:rFonts w:hint="eastAsia" w:ascii="仿宋_GB2312" w:hAnsi="仿宋_GB2312" w:eastAsia="仿宋_GB2312" w:cs="仿宋_GB2312"/>
          <w:color w:val="000000"/>
          <w:kern w:val="0"/>
          <w:sz w:val="32"/>
          <w:szCs w:val="32"/>
          <w:highlight w:val="none"/>
          <w:lang w:val="en-US" w:eastAsia="zh-CN" w:bidi="ar"/>
        </w:rPr>
        <w:t>.建筑的立面装饰构件与主体结构的连接应进行抗震设防。</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6</w:t>
      </w:r>
      <w:r>
        <w:rPr>
          <w:rFonts w:hint="eastAsia" w:ascii="仿宋_GB2312" w:hAnsi="仿宋_GB2312" w:eastAsia="仿宋_GB2312" w:cs="仿宋_GB2312"/>
          <w:color w:val="000000"/>
          <w:kern w:val="0"/>
          <w:sz w:val="32"/>
          <w:szCs w:val="32"/>
          <w:highlight w:val="none"/>
          <w:lang w:val="en-US" w:eastAsia="zh-CN" w:bidi="ar"/>
        </w:rPr>
        <w:t>.装配式建筑项目（实施外墙内保温项目除外），装配式建筑外墙与保温材料、外窗、外墙面砖饰面等部品构件宜一体化预制。</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7</w:t>
      </w:r>
      <w:r>
        <w:rPr>
          <w:rFonts w:hint="eastAsia" w:ascii="仿宋_GB2312" w:hAnsi="仿宋_GB2312" w:eastAsia="仿宋_GB2312" w:cs="仿宋_GB2312"/>
          <w:color w:val="000000"/>
          <w:kern w:val="0"/>
          <w:sz w:val="32"/>
          <w:szCs w:val="32"/>
          <w:highlight w:val="none"/>
          <w:lang w:val="en-US" w:eastAsia="zh-CN" w:bidi="ar"/>
        </w:rPr>
        <w:t>.夹心保温外墙防水胶缝禁止采用干硬性材料进行覆盖。</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8</w:t>
      </w:r>
      <w:r>
        <w:rPr>
          <w:rFonts w:hint="eastAsia" w:ascii="仿宋_GB2312" w:hAnsi="仿宋_GB2312" w:eastAsia="仿宋_GB2312" w:cs="仿宋_GB2312"/>
          <w:color w:val="000000"/>
          <w:kern w:val="0"/>
          <w:sz w:val="32"/>
          <w:szCs w:val="32"/>
          <w:highlight w:val="none"/>
          <w:lang w:val="en-US" w:eastAsia="zh-CN" w:bidi="ar"/>
        </w:rPr>
        <w:t>.预制夹心保温外墙保温连接件应进行专门设计，并对制作和安装提出要求。</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9</w:t>
      </w:r>
      <w:r>
        <w:rPr>
          <w:rFonts w:hint="eastAsia" w:ascii="仿宋_GB2312" w:hAnsi="仿宋_GB2312" w:eastAsia="仿宋_GB2312" w:cs="仿宋_GB2312"/>
          <w:color w:val="000000"/>
          <w:kern w:val="0"/>
          <w:sz w:val="32"/>
          <w:szCs w:val="32"/>
          <w:highlight w:val="none"/>
          <w:lang w:val="en-US" w:eastAsia="zh-CN" w:bidi="ar"/>
        </w:rPr>
        <w:t>.装饰线条优选与外墙一体化成型做法，不应采用现场安装的</w:t>
      </w:r>
      <w:r>
        <w:rPr>
          <w:rFonts w:hint="default" w:ascii="仿宋_GB2312" w:hAnsi="仿宋_GB2312" w:eastAsia="仿宋_GB2312" w:cs="仿宋_GB2312"/>
          <w:color w:val="000000"/>
          <w:kern w:val="0"/>
          <w:sz w:val="32"/>
          <w:szCs w:val="32"/>
          <w:highlight w:val="none"/>
          <w:lang w:val="en-US" w:eastAsia="zh-CN" w:bidi="ar"/>
        </w:rPr>
        <w:t>EPS</w:t>
      </w:r>
      <w:r>
        <w:rPr>
          <w:rFonts w:hint="eastAsia" w:ascii="仿宋_GB2312" w:hAnsi="仿宋_GB2312" w:eastAsia="仿宋_GB2312" w:cs="仿宋_GB2312"/>
          <w:color w:val="000000"/>
          <w:kern w:val="0"/>
          <w:sz w:val="32"/>
          <w:szCs w:val="32"/>
          <w:highlight w:val="none"/>
          <w:lang w:val="en-US" w:eastAsia="zh-CN" w:bidi="ar"/>
        </w:rPr>
        <w:t>、</w:t>
      </w:r>
      <w:r>
        <w:rPr>
          <w:rFonts w:hint="default" w:ascii="仿宋_GB2312" w:hAnsi="仿宋_GB2312" w:eastAsia="仿宋_GB2312" w:cs="仿宋_GB2312"/>
          <w:color w:val="000000"/>
          <w:kern w:val="0"/>
          <w:sz w:val="32"/>
          <w:szCs w:val="32"/>
          <w:highlight w:val="none"/>
          <w:lang w:val="en-US" w:eastAsia="zh-CN" w:bidi="ar"/>
        </w:rPr>
        <w:t>XPS</w:t>
      </w:r>
      <w:r>
        <w:rPr>
          <w:rFonts w:hint="eastAsia" w:ascii="仿宋_GB2312" w:hAnsi="仿宋_GB2312" w:eastAsia="仿宋_GB2312" w:cs="仿宋_GB2312"/>
          <w:color w:val="000000"/>
          <w:kern w:val="0"/>
          <w:sz w:val="32"/>
          <w:szCs w:val="32"/>
          <w:highlight w:val="none"/>
          <w:lang w:val="en-US" w:eastAsia="zh-CN" w:bidi="ar"/>
        </w:rPr>
        <w:t>等</w:t>
      </w:r>
      <w:r>
        <w:rPr>
          <w:rFonts w:hint="default" w:ascii="仿宋_GB2312" w:hAnsi="仿宋_GB2312" w:eastAsia="仿宋_GB2312" w:cs="仿宋_GB2312"/>
          <w:color w:val="000000"/>
          <w:kern w:val="0"/>
          <w:sz w:val="32"/>
          <w:szCs w:val="32"/>
          <w:highlight w:val="none"/>
          <w:lang w:val="en-US" w:eastAsia="zh-CN" w:bidi="ar"/>
        </w:rPr>
        <w:t>B</w:t>
      </w:r>
      <w:r>
        <w:rPr>
          <w:rFonts w:hint="eastAsia" w:ascii="仿宋_GB2312" w:hAnsi="仿宋_GB2312" w:eastAsia="仿宋_GB2312" w:cs="仿宋_GB2312"/>
          <w:color w:val="000000"/>
          <w:kern w:val="0"/>
          <w:sz w:val="32"/>
          <w:szCs w:val="32"/>
          <w:highlight w:val="none"/>
          <w:lang w:val="en-US" w:eastAsia="zh-CN" w:bidi="ar"/>
        </w:rPr>
        <w:t>级材料（难燃、可燃性建筑材料）作为外墙装饰线条。</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10</w:t>
      </w:r>
      <w:r>
        <w:rPr>
          <w:rFonts w:hint="eastAsia" w:ascii="仿宋_GB2312" w:hAnsi="仿宋_GB2312" w:eastAsia="仿宋_GB2312" w:cs="仿宋_GB2312"/>
          <w:color w:val="000000"/>
          <w:kern w:val="0"/>
          <w:sz w:val="32"/>
          <w:szCs w:val="32"/>
          <w:highlight w:val="none"/>
          <w:lang w:val="en-US" w:eastAsia="zh-CN" w:bidi="ar"/>
        </w:rPr>
        <w:t>.当采用</w:t>
      </w:r>
      <w:r>
        <w:rPr>
          <w:rFonts w:hint="default" w:ascii="仿宋_GB2312" w:hAnsi="仿宋_GB2312" w:eastAsia="仿宋_GB2312" w:cs="仿宋_GB2312"/>
          <w:color w:val="000000"/>
          <w:kern w:val="0"/>
          <w:sz w:val="32"/>
          <w:szCs w:val="32"/>
          <w:highlight w:val="none"/>
          <w:lang w:val="en-US" w:eastAsia="zh-CN" w:bidi="ar"/>
        </w:rPr>
        <w:t xml:space="preserve">A </w:t>
      </w:r>
      <w:r>
        <w:rPr>
          <w:rFonts w:hint="eastAsia" w:ascii="仿宋_GB2312" w:hAnsi="仿宋_GB2312" w:eastAsia="仿宋_GB2312" w:cs="仿宋_GB2312"/>
          <w:color w:val="000000"/>
          <w:kern w:val="0"/>
          <w:sz w:val="32"/>
          <w:szCs w:val="32"/>
          <w:highlight w:val="none"/>
          <w:lang w:val="en-US" w:eastAsia="zh-CN" w:bidi="ar"/>
        </w:rPr>
        <w:t>级材料（不燃性建筑材料）作为外墙装饰线条现场安装时，突出墙面宽度超过</w:t>
      </w:r>
      <w:r>
        <w:rPr>
          <w:rFonts w:hint="default" w:ascii="仿宋_GB2312" w:hAnsi="仿宋_GB2312" w:eastAsia="仿宋_GB2312" w:cs="仿宋_GB2312"/>
          <w:color w:val="000000"/>
          <w:kern w:val="0"/>
          <w:sz w:val="32"/>
          <w:szCs w:val="32"/>
          <w:highlight w:val="none"/>
          <w:lang w:val="en-US" w:eastAsia="zh-CN" w:bidi="ar"/>
        </w:rPr>
        <w:t xml:space="preserve">100mm </w:t>
      </w:r>
      <w:r>
        <w:rPr>
          <w:rFonts w:hint="eastAsia" w:ascii="仿宋_GB2312" w:hAnsi="仿宋_GB2312" w:eastAsia="仿宋_GB2312" w:cs="仿宋_GB2312"/>
          <w:color w:val="000000"/>
          <w:kern w:val="0"/>
          <w:sz w:val="32"/>
          <w:szCs w:val="32"/>
          <w:highlight w:val="none"/>
          <w:lang w:val="en-US" w:eastAsia="zh-CN" w:bidi="ar"/>
        </w:rPr>
        <w:t>的线条应设置锚栓辅助固定，同时应对接缝、连接点处进行防水设计。设计单位应有相应的构造详图或标明所参照的详图。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二、屋面</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仿宋_GB2312" w:hAnsi="仿宋_GB2312" w:eastAsia="仿宋_GB2312" w:cs="仿宋_GB2312"/>
          <w:color w:val="000000"/>
          <w:kern w:val="0"/>
          <w:sz w:val="32"/>
          <w:szCs w:val="32"/>
          <w:highlight w:val="none"/>
          <w:lang w:val="en-US" w:eastAsia="zh-CN" w:bidi="ar"/>
        </w:rPr>
        <w:t>11.屋面水箱进水管出水口下方应安装消音管，水泵下部应安装隔震器。设计单位应有相应的构造详图或标明所参照的详图。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三、外窗</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12</w:t>
      </w:r>
      <w:r>
        <w:rPr>
          <w:rFonts w:hint="eastAsia" w:ascii="仿宋_GB2312" w:hAnsi="仿宋_GB2312" w:eastAsia="仿宋_GB2312" w:cs="仿宋_GB2312"/>
          <w:color w:val="000000"/>
          <w:kern w:val="0"/>
          <w:sz w:val="32"/>
          <w:szCs w:val="32"/>
          <w:highlight w:val="none"/>
          <w:lang w:val="en-US" w:eastAsia="zh-CN" w:bidi="ar"/>
        </w:rPr>
        <w:t>.当预制外墙时，应优先考虑预埋窗框或预埋钢附框。预制外墙窗（门）洞口顶部应设凸出鹰嘴或滴水槽。当采用预留企口后安装窗框时，窗台部位应设置高低企口构造，且四周外沿应封闭打胶。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四、阳台板</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13</w:t>
      </w:r>
      <w:r>
        <w:rPr>
          <w:rFonts w:hint="eastAsia" w:ascii="仿宋_GB2312" w:hAnsi="仿宋_GB2312" w:eastAsia="仿宋_GB2312" w:cs="仿宋_GB2312"/>
          <w:color w:val="000000"/>
          <w:kern w:val="0"/>
          <w:sz w:val="32"/>
          <w:szCs w:val="32"/>
          <w:highlight w:val="none"/>
          <w:lang w:val="en-US" w:eastAsia="zh-CN" w:bidi="ar"/>
        </w:rPr>
        <w:t>.预制阳台根部应设置翻边或现浇叠合层，现浇层厚度不小于</w:t>
      </w:r>
      <w:r>
        <w:rPr>
          <w:rFonts w:hint="default" w:ascii="仿宋_GB2312" w:hAnsi="仿宋_GB2312" w:eastAsia="仿宋_GB2312" w:cs="仿宋_GB2312"/>
          <w:color w:val="000000"/>
          <w:kern w:val="0"/>
          <w:sz w:val="32"/>
          <w:szCs w:val="32"/>
          <w:highlight w:val="none"/>
          <w:lang w:val="en-US" w:eastAsia="zh-CN" w:bidi="ar"/>
        </w:rPr>
        <w:t>60mm</w:t>
      </w:r>
      <w:r>
        <w:rPr>
          <w:rFonts w:hint="eastAsia" w:ascii="仿宋_GB2312" w:hAnsi="仿宋_GB2312" w:eastAsia="仿宋_GB2312" w:cs="仿宋_GB2312"/>
          <w:color w:val="000000"/>
          <w:kern w:val="0"/>
          <w:sz w:val="32"/>
          <w:szCs w:val="32"/>
          <w:highlight w:val="none"/>
          <w:lang w:val="en-US" w:eastAsia="zh-CN" w:bidi="ar"/>
        </w:rPr>
        <w:t>。设计单位应有相应的构造详图或标明所参照的详图。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五、套筒连接</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14</w:t>
      </w:r>
      <w:r>
        <w:rPr>
          <w:rFonts w:hint="eastAsia" w:ascii="仿宋_GB2312" w:hAnsi="仿宋_GB2312" w:eastAsia="仿宋_GB2312" w:cs="仿宋_GB2312"/>
          <w:color w:val="000000"/>
          <w:kern w:val="0"/>
          <w:sz w:val="32"/>
          <w:szCs w:val="32"/>
          <w:highlight w:val="none"/>
          <w:lang w:val="en-US" w:eastAsia="zh-CN" w:bidi="ar"/>
        </w:rPr>
        <w:t>.设计应要求相关方对套筒连接的灌浆饱满性进行检测，对不合格的套筒应采取补灌措施。</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六、室内设计</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15</w:t>
      </w:r>
      <w:r>
        <w:rPr>
          <w:rFonts w:hint="eastAsia" w:ascii="仿宋_GB2312" w:hAnsi="仿宋_GB2312" w:eastAsia="仿宋_GB2312" w:cs="仿宋_GB2312"/>
          <w:color w:val="000000"/>
          <w:kern w:val="0"/>
          <w:sz w:val="32"/>
          <w:szCs w:val="32"/>
          <w:highlight w:val="none"/>
          <w:lang w:val="en-US" w:eastAsia="zh-CN" w:bidi="ar"/>
        </w:rPr>
        <w:t>.卫生间存水弯水封及地漏构造水封深度均不应小于</w:t>
      </w:r>
      <w:r>
        <w:rPr>
          <w:rFonts w:hint="default" w:ascii="仿宋_GB2312" w:hAnsi="仿宋_GB2312" w:eastAsia="仿宋_GB2312" w:cs="仿宋_GB2312"/>
          <w:color w:val="000000"/>
          <w:kern w:val="0"/>
          <w:sz w:val="32"/>
          <w:szCs w:val="32"/>
          <w:highlight w:val="none"/>
          <w:lang w:val="en-US" w:eastAsia="zh-CN" w:bidi="ar"/>
        </w:rPr>
        <w:t>50mm</w:t>
      </w:r>
      <w:r>
        <w:rPr>
          <w:rFonts w:hint="eastAsia" w:ascii="仿宋_GB2312" w:hAnsi="仿宋_GB2312" w:eastAsia="仿宋_GB2312" w:cs="仿宋_GB2312"/>
          <w:color w:val="000000"/>
          <w:kern w:val="0"/>
          <w:sz w:val="32"/>
          <w:szCs w:val="32"/>
          <w:highlight w:val="none"/>
          <w:lang w:val="en-US" w:eastAsia="zh-CN" w:bidi="ar"/>
        </w:rPr>
        <w:t>。厨房排烟道应有防止支管回流和竖井泄漏的措施。厨房烟道与楼板连接处节点应加强。设计单位应有相应的构造详图或标明所参照的详图。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16</w:t>
      </w:r>
      <w:r>
        <w:rPr>
          <w:rFonts w:hint="eastAsia" w:ascii="仿宋_GB2312" w:hAnsi="仿宋_GB2312" w:eastAsia="仿宋_GB2312" w:cs="仿宋_GB2312"/>
          <w:color w:val="000000"/>
          <w:kern w:val="0"/>
          <w:sz w:val="32"/>
          <w:szCs w:val="32"/>
          <w:highlight w:val="none"/>
          <w:lang w:val="en-US" w:eastAsia="zh-CN" w:bidi="ar"/>
        </w:rPr>
        <w:t>.卫生间顶棚应设置防潮层或采用防潮材料，淋浴区墙面防水层翻起高度不应小于</w:t>
      </w:r>
      <w:r>
        <w:rPr>
          <w:rFonts w:hint="default" w:ascii="仿宋_GB2312" w:hAnsi="仿宋_GB2312" w:eastAsia="仿宋_GB2312" w:cs="仿宋_GB2312"/>
          <w:color w:val="000000"/>
          <w:kern w:val="0"/>
          <w:sz w:val="32"/>
          <w:szCs w:val="32"/>
          <w:highlight w:val="none"/>
          <w:lang w:val="en-US" w:eastAsia="zh-CN" w:bidi="ar"/>
        </w:rPr>
        <w:t>2m</w:t>
      </w:r>
      <w:r>
        <w:rPr>
          <w:rFonts w:hint="eastAsia" w:ascii="仿宋_GB2312" w:hAnsi="仿宋_GB2312" w:eastAsia="仿宋_GB2312" w:cs="仿宋_GB2312"/>
          <w:color w:val="000000"/>
          <w:kern w:val="0"/>
          <w:sz w:val="32"/>
          <w:szCs w:val="32"/>
          <w:highlight w:val="none"/>
          <w:lang w:val="en-US" w:eastAsia="zh-CN" w:bidi="ar"/>
        </w:rPr>
        <w:t>，且不低于淋浴喷淋口高度，洗面器处墙面防水层翻起高度不应小于</w:t>
      </w:r>
      <w:r>
        <w:rPr>
          <w:rFonts w:hint="default" w:ascii="仿宋_GB2312" w:hAnsi="仿宋_GB2312" w:eastAsia="仿宋_GB2312" w:cs="仿宋_GB2312"/>
          <w:color w:val="000000"/>
          <w:kern w:val="0"/>
          <w:sz w:val="32"/>
          <w:szCs w:val="32"/>
          <w:highlight w:val="none"/>
          <w:lang w:val="en-US" w:eastAsia="zh-CN" w:bidi="ar"/>
        </w:rPr>
        <w:t>1.2m</w:t>
      </w:r>
      <w:r>
        <w:rPr>
          <w:rFonts w:hint="eastAsia" w:ascii="仿宋_GB2312" w:hAnsi="仿宋_GB2312" w:eastAsia="仿宋_GB2312" w:cs="仿宋_GB2312"/>
          <w:color w:val="000000"/>
          <w:kern w:val="0"/>
          <w:sz w:val="32"/>
          <w:szCs w:val="32"/>
          <w:highlight w:val="none"/>
          <w:lang w:val="en-US" w:eastAsia="zh-CN" w:bidi="ar"/>
        </w:rPr>
        <w:t>，其他墙面防水层翻起高度应不小于</w:t>
      </w:r>
      <w:r>
        <w:rPr>
          <w:rFonts w:hint="default" w:ascii="仿宋_GB2312" w:hAnsi="仿宋_GB2312" w:eastAsia="仿宋_GB2312" w:cs="仿宋_GB2312"/>
          <w:color w:val="000000"/>
          <w:kern w:val="0"/>
          <w:sz w:val="32"/>
          <w:szCs w:val="32"/>
          <w:highlight w:val="none"/>
          <w:lang w:val="en-US" w:eastAsia="zh-CN" w:bidi="ar"/>
        </w:rPr>
        <w:t>0.3m</w:t>
      </w:r>
      <w:r>
        <w:rPr>
          <w:rFonts w:hint="eastAsia" w:ascii="仿宋_GB2312" w:hAnsi="仿宋_GB2312" w:eastAsia="仿宋_GB2312" w:cs="仿宋_GB2312"/>
          <w:color w:val="000000"/>
          <w:kern w:val="0"/>
          <w:sz w:val="32"/>
          <w:szCs w:val="32"/>
          <w:highlight w:val="none"/>
          <w:lang w:val="en-US" w:eastAsia="zh-CN" w:bidi="ar"/>
        </w:rPr>
        <w:t>。</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17</w:t>
      </w:r>
      <w:r>
        <w:rPr>
          <w:rFonts w:hint="eastAsia" w:ascii="仿宋_GB2312" w:hAnsi="仿宋_GB2312" w:eastAsia="仿宋_GB2312" w:cs="仿宋_GB2312"/>
          <w:color w:val="000000"/>
          <w:kern w:val="0"/>
          <w:sz w:val="32"/>
          <w:szCs w:val="32"/>
          <w:highlight w:val="none"/>
          <w:lang w:val="en-US" w:eastAsia="zh-CN" w:bidi="ar"/>
        </w:rPr>
        <w:t>.采用内保温的厨房卫生间墙面砖应设置防坠落构造。设计单位应有相应的构造详图或标明所参照的详图。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18</w:t>
      </w:r>
      <w:r>
        <w:rPr>
          <w:rFonts w:hint="eastAsia" w:ascii="仿宋_GB2312" w:hAnsi="仿宋_GB2312" w:eastAsia="仿宋_GB2312" w:cs="仿宋_GB2312"/>
          <w:color w:val="000000"/>
          <w:kern w:val="0"/>
          <w:sz w:val="32"/>
          <w:szCs w:val="32"/>
          <w:highlight w:val="none"/>
          <w:lang w:val="en-US" w:eastAsia="zh-CN" w:bidi="ar"/>
        </w:rPr>
        <w:t>.无地下室的首层地面应按照结构楼板设计并设置防潮构造或防水层。设计单位应有相应的构造详图或标明所参照的详图。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19</w:t>
      </w:r>
      <w:r>
        <w:rPr>
          <w:rFonts w:hint="eastAsia" w:ascii="仿宋_GB2312" w:hAnsi="仿宋_GB2312" w:eastAsia="仿宋_GB2312" w:cs="仿宋_GB2312"/>
          <w:color w:val="000000"/>
          <w:kern w:val="0"/>
          <w:sz w:val="32"/>
          <w:szCs w:val="32"/>
          <w:highlight w:val="none"/>
          <w:lang w:val="en-US" w:eastAsia="zh-CN" w:bidi="ar"/>
        </w:rPr>
        <w:t>.楼板厚度不小于100</w:t>
      </w:r>
      <w:r>
        <w:rPr>
          <w:rFonts w:hint="default" w:ascii="仿宋_GB2312" w:hAnsi="仿宋_GB2312" w:eastAsia="仿宋_GB2312" w:cs="仿宋_GB2312"/>
          <w:color w:val="000000"/>
          <w:kern w:val="0"/>
          <w:sz w:val="32"/>
          <w:szCs w:val="32"/>
          <w:highlight w:val="none"/>
          <w:lang w:val="en-US" w:eastAsia="zh-CN" w:bidi="ar"/>
        </w:rPr>
        <w:t>mm</w:t>
      </w:r>
      <w:r>
        <w:rPr>
          <w:rFonts w:hint="eastAsia" w:ascii="仿宋_GB2312" w:hAnsi="仿宋_GB2312" w:eastAsia="仿宋_GB2312" w:cs="仿宋_GB2312"/>
          <w:color w:val="000000"/>
          <w:kern w:val="0"/>
          <w:sz w:val="32"/>
          <w:szCs w:val="32"/>
          <w:highlight w:val="none"/>
          <w:lang w:val="en-US" w:eastAsia="zh-CN" w:bidi="ar"/>
        </w:rPr>
        <w:t>且应设置符合标准的隔音构造措施；楼板、墙体上各种孔洞均应采取可靠的密封隔声措施。</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20</w:t>
      </w:r>
      <w:r>
        <w:rPr>
          <w:rFonts w:hint="eastAsia" w:ascii="仿宋_GB2312" w:hAnsi="仿宋_GB2312" w:eastAsia="仿宋_GB2312" w:cs="仿宋_GB2312"/>
          <w:color w:val="000000"/>
          <w:kern w:val="0"/>
          <w:sz w:val="32"/>
          <w:szCs w:val="32"/>
          <w:highlight w:val="none"/>
          <w:lang w:val="en-US" w:eastAsia="zh-CN" w:bidi="ar"/>
        </w:rPr>
        <w:t>.地砖面层与墙面交接处应采用踢脚线或墙压地方式。</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21</w:t>
      </w:r>
      <w:r>
        <w:rPr>
          <w:rFonts w:hint="eastAsia" w:ascii="仿宋_GB2312" w:hAnsi="仿宋_GB2312" w:eastAsia="仿宋_GB2312" w:cs="仿宋_GB2312"/>
          <w:color w:val="000000"/>
          <w:kern w:val="0"/>
          <w:sz w:val="32"/>
          <w:szCs w:val="32"/>
          <w:highlight w:val="none"/>
          <w:lang w:val="en-US" w:eastAsia="zh-CN" w:bidi="ar"/>
        </w:rPr>
        <w:t>.电源插座为安全型插座，厨房、卫生间、洗衣机等电源插座应设有防止水溅的措施。</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七、空调</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仿宋_GB2312" w:hAnsi="仿宋_GB2312" w:eastAsia="仿宋_GB2312" w:cs="仿宋_GB2312"/>
          <w:color w:val="000000"/>
          <w:kern w:val="0"/>
          <w:sz w:val="32"/>
          <w:szCs w:val="32"/>
          <w:highlight w:val="none"/>
          <w:lang w:val="en-US" w:eastAsia="zh-CN" w:bidi="ar"/>
        </w:rPr>
        <w:t>22.空调百叶应采用铝合金等防腐材质，应采用可靠开启式设计，空调基座或支架，以及相关连接件和锚固件应具有足够的刚度和强度。设计单位应有相应的构造详图或标明所参照的详图。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23</w:t>
      </w:r>
      <w:r>
        <w:rPr>
          <w:rFonts w:hint="eastAsia" w:ascii="仿宋_GB2312" w:hAnsi="仿宋_GB2312" w:eastAsia="仿宋_GB2312" w:cs="仿宋_GB2312"/>
          <w:color w:val="000000"/>
          <w:kern w:val="0"/>
          <w:sz w:val="32"/>
          <w:szCs w:val="32"/>
          <w:highlight w:val="none"/>
          <w:lang w:val="en-US" w:eastAsia="zh-CN" w:bidi="ar"/>
        </w:rPr>
        <w:t>.空调安装应设防振动防噪声构造。设计单位应有相应的构造详图或标明所参照的详图。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八、公共区域设计</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24</w:t>
      </w:r>
      <w:r>
        <w:rPr>
          <w:rFonts w:hint="eastAsia" w:ascii="仿宋_GB2312" w:hAnsi="仿宋_GB2312" w:eastAsia="仿宋_GB2312" w:cs="仿宋_GB2312"/>
          <w:color w:val="000000"/>
          <w:kern w:val="0"/>
          <w:sz w:val="32"/>
          <w:szCs w:val="32"/>
          <w:highlight w:val="none"/>
          <w:lang w:val="en-US" w:eastAsia="zh-CN" w:bidi="ar"/>
        </w:rPr>
        <w:t>.</w:t>
      </w:r>
      <w:r>
        <w:rPr>
          <w:rFonts w:hint="default" w:ascii="仿宋_GB2312" w:hAnsi="仿宋_GB2312" w:eastAsia="仿宋_GB2312" w:cs="仿宋_GB2312"/>
          <w:color w:val="000000"/>
          <w:kern w:val="0"/>
          <w:sz w:val="32"/>
          <w:szCs w:val="32"/>
          <w:highlight w:val="none"/>
          <w:lang w:val="en-US" w:eastAsia="zh-CN" w:bidi="ar"/>
        </w:rPr>
        <w:t>2m</w:t>
      </w:r>
      <w:r>
        <w:rPr>
          <w:rFonts w:hint="eastAsia" w:ascii="仿宋_GB2312" w:hAnsi="仿宋_GB2312" w:eastAsia="仿宋_GB2312" w:cs="仿宋_GB2312"/>
          <w:color w:val="000000"/>
          <w:kern w:val="0"/>
          <w:sz w:val="32"/>
          <w:szCs w:val="32"/>
          <w:highlight w:val="none"/>
          <w:lang w:val="en-US" w:eastAsia="zh-CN" w:bidi="ar"/>
        </w:rPr>
        <w:t>以上的公区墙砖不应采用湿贴工艺。</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25</w:t>
      </w:r>
      <w:r>
        <w:rPr>
          <w:rFonts w:hint="eastAsia" w:ascii="仿宋_GB2312" w:hAnsi="仿宋_GB2312" w:eastAsia="仿宋_GB2312" w:cs="仿宋_GB2312"/>
          <w:color w:val="000000"/>
          <w:kern w:val="0"/>
          <w:sz w:val="32"/>
          <w:szCs w:val="32"/>
          <w:highlight w:val="none"/>
          <w:lang w:val="en-US" w:eastAsia="zh-CN" w:bidi="ar"/>
        </w:rPr>
        <w:t>.电梯井道、机房不应贴邻卧室，或应设置有满足隔音要求的措施。</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outlineLvl w:val="9"/>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九、地下室</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26</w:t>
      </w:r>
      <w:r>
        <w:rPr>
          <w:rFonts w:hint="eastAsia" w:ascii="仿宋_GB2312" w:hAnsi="仿宋_GB2312" w:eastAsia="仿宋_GB2312" w:cs="仿宋_GB2312"/>
          <w:color w:val="000000"/>
          <w:kern w:val="0"/>
          <w:sz w:val="32"/>
          <w:szCs w:val="32"/>
          <w:highlight w:val="none"/>
          <w:lang w:val="en-US" w:eastAsia="zh-CN" w:bidi="ar"/>
        </w:rPr>
        <w:t>.地下室底板、侧墙、顶板防水等级应为一级。</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27</w:t>
      </w:r>
      <w:r>
        <w:rPr>
          <w:rFonts w:hint="eastAsia" w:ascii="仿宋_GB2312" w:hAnsi="仿宋_GB2312" w:eastAsia="仿宋_GB2312" w:cs="仿宋_GB2312"/>
          <w:color w:val="000000"/>
          <w:kern w:val="0"/>
          <w:sz w:val="32"/>
          <w:szCs w:val="32"/>
          <w:highlight w:val="none"/>
          <w:lang w:val="en-US" w:eastAsia="zh-CN" w:bidi="ar"/>
        </w:rPr>
        <w:t>.地下室的底板、外墙、穿墙管道、出入口处应有防水构造措施。设计单位应有相应的构造详图或标明所参照的详图。</w:t>
      </w:r>
    </w:p>
    <w:p>
      <w:pPr>
        <w:keepNext w:val="0"/>
        <w:keepLines w:val="0"/>
        <w:pageBreakBefore w:val="0"/>
        <w:widowControl/>
        <w:suppressLineNumbers w:val="0"/>
        <w:kinsoku/>
        <w:wordWrap/>
        <w:overflowPunct/>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000000"/>
          <w:kern w:val="0"/>
          <w:sz w:val="32"/>
          <w:szCs w:val="32"/>
          <w:highlight w:val="none"/>
          <w:lang w:val="en-US" w:eastAsia="zh-CN" w:bidi="ar"/>
        </w:rPr>
      </w:pPr>
      <w:r>
        <w:rPr>
          <w:rFonts w:hint="default" w:ascii="仿宋_GB2312" w:hAnsi="仿宋_GB2312" w:eastAsia="仿宋_GB2312" w:cs="仿宋_GB2312"/>
          <w:color w:val="000000"/>
          <w:kern w:val="0"/>
          <w:sz w:val="32"/>
          <w:szCs w:val="32"/>
          <w:highlight w:val="none"/>
          <w:lang w:val="en-US" w:eastAsia="zh-CN" w:bidi="ar"/>
        </w:rPr>
        <w:t>28</w:t>
      </w:r>
      <w:r>
        <w:rPr>
          <w:rFonts w:hint="eastAsia" w:ascii="仿宋_GB2312" w:hAnsi="仿宋_GB2312" w:eastAsia="仿宋_GB2312" w:cs="仿宋_GB2312"/>
          <w:color w:val="000000"/>
          <w:kern w:val="0"/>
          <w:sz w:val="32"/>
          <w:szCs w:val="32"/>
          <w:highlight w:val="none"/>
          <w:lang w:val="en-US" w:eastAsia="zh-CN" w:bidi="ar"/>
        </w:rPr>
        <w:t>.地下室迎水面主体结构应为防水混凝土，厚度不小于</w:t>
      </w:r>
      <w:r>
        <w:rPr>
          <w:rFonts w:hint="default" w:ascii="仿宋_GB2312" w:hAnsi="仿宋_GB2312" w:eastAsia="仿宋_GB2312" w:cs="仿宋_GB2312"/>
          <w:color w:val="000000"/>
          <w:kern w:val="0"/>
          <w:sz w:val="32"/>
          <w:szCs w:val="32"/>
          <w:highlight w:val="none"/>
          <w:lang w:val="en-US" w:eastAsia="zh-CN" w:bidi="ar"/>
        </w:rPr>
        <w:t>250mm</w:t>
      </w:r>
      <w:r>
        <w:rPr>
          <w:rFonts w:hint="eastAsia" w:ascii="仿宋_GB2312" w:hAnsi="仿宋_GB2312" w:eastAsia="仿宋_GB2312" w:cs="仿宋_GB2312"/>
          <w:color w:val="000000"/>
          <w:kern w:val="0"/>
          <w:sz w:val="32"/>
          <w:szCs w:val="32"/>
          <w:highlight w:val="none"/>
          <w:lang w:val="en-US" w:eastAsia="zh-CN" w:bidi="ar"/>
        </w:rPr>
        <w:t>，设计抗渗等级不低于现行规范要求。防水混凝土底板的垫层强度等级不应低于</w:t>
      </w:r>
      <w:r>
        <w:rPr>
          <w:rFonts w:hint="default" w:ascii="仿宋_GB2312" w:hAnsi="仿宋_GB2312" w:eastAsia="仿宋_GB2312" w:cs="仿宋_GB2312"/>
          <w:color w:val="000000"/>
          <w:kern w:val="0"/>
          <w:sz w:val="32"/>
          <w:szCs w:val="32"/>
          <w:highlight w:val="none"/>
          <w:lang w:val="en-US" w:eastAsia="zh-CN" w:bidi="ar"/>
        </w:rPr>
        <w:t>C20</w:t>
      </w:r>
      <w:r>
        <w:rPr>
          <w:rFonts w:hint="eastAsia" w:ascii="仿宋_GB2312" w:hAnsi="仿宋_GB2312" w:eastAsia="仿宋_GB2312" w:cs="仿宋_GB2312"/>
          <w:color w:val="000000"/>
          <w:kern w:val="0"/>
          <w:sz w:val="32"/>
          <w:szCs w:val="32"/>
          <w:highlight w:val="none"/>
          <w:lang w:val="en-US" w:eastAsia="zh-CN" w:bidi="ar"/>
        </w:rPr>
        <w:t>，厚度不应小于</w:t>
      </w:r>
      <w:r>
        <w:rPr>
          <w:rFonts w:hint="default" w:ascii="仿宋_GB2312" w:hAnsi="仿宋_GB2312" w:eastAsia="仿宋_GB2312" w:cs="仿宋_GB2312"/>
          <w:color w:val="000000"/>
          <w:kern w:val="0"/>
          <w:sz w:val="32"/>
          <w:szCs w:val="32"/>
          <w:highlight w:val="none"/>
          <w:lang w:val="en-US" w:eastAsia="zh-CN" w:bidi="ar"/>
        </w:rPr>
        <w:t>150mm</w:t>
      </w:r>
      <w:r>
        <w:rPr>
          <w:rFonts w:hint="eastAsia" w:ascii="仿宋_GB2312" w:hAnsi="仿宋_GB2312" w:eastAsia="仿宋_GB2312" w:cs="仿宋_GB2312"/>
          <w:color w:val="000000"/>
          <w:kern w:val="0"/>
          <w:sz w:val="32"/>
          <w:szCs w:val="32"/>
          <w:highlight w:val="none"/>
          <w:lang w:val="en-US" w:eastAsia="zh-CN" w:bidi="ar"/>
        </w:rPr>
        <w:t>。</w:t>
      </w:r>
    </w:p>
    <w:p>
      <w:pPr>
        <w:keepNext w:val="0"/>
        <w:keepLines w:val="0"/>
        <w:pageBreakBefore w:val="0"/>
        <w:widowControl/>
        <w:suppressLineNumbers w:val="0"/>
        <w:kinsoku/>
        <w:wordWrap/>
        <w:overflowPunct/>
        <w:topLinePunct w:val="0"/>
        <w:autoSpaceDE/>
        <w:autoSpaceDN/>
        <w:bidi w:val="0"/>
        <w:adjustRightInd w:val="0"/>
        <w:snapToGrid/>
        <w:spacing w:line="560" w:lineRule="exact"/>
        <w:jc w:val="both"/>
        <w:textAlignment w:val="auto"/>
        <w:rPr>
          <w:rFonts w:hint="eastAsia" w:ascii="仿宋_GB2312" w:hAnsi="仿宋_GB2312" w:eastAsia="仿宋_GB2312" w:cs="仿宋_GB2312"/>
          <w:color w:val="000000"/>
          <w:kern w:val="0"/>
          <w:sz w:val="32"/>
          <w:szCs w:val="32"/>
          <w:lang w:val="en-US" w:eastAsia="zh-CN" w:bidi="ar"/>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0ODNhNzgyMWQ4NTUzMmU0MTg3MTBmNjQ4MGJjZTQifQ=="/>
  </w:docVars>
  <w:rsids>
    <w:rsidRoot w:val="00000000"/>
    <w:rsid w:val="11056A45"/>
    <w:rsid w:val="11BD39B0"/>
    <w:rsid w:val="1376799F"/>
    <w:rsid w:val="16C00CF1"/>
    <w:rsid w:val="1F939C02"/>
    <w:rsid w:val="27C12C69"/>
    <w:rsid w:val="28F37E19"/>
    <w:rsid w:val="2C860DF7"/>
    <w:rsid w:val="2DBD4D21"/>
    <w:rsid w:val="2E393132"/>
    <w:rsid w:val="46114740"/>
    <w:rsid w:val="4A531C72"/>
    <w:rsid w:val="5CB11423"/>
    <w:rsid w:val="66D3718E"/>
    <w:rsid w:val="6B6F7C80"/>
    <w:rsid w:val="6EFE77C0"/>
    <w:rsid w:val="6F7DE03C"/>
    <w:rsid w:val="71682695"/>
    <w:rsid w:val="75CA2719"/>
    <w:rsid w:val="7F732077"/>
    <w:rsid w:val="96CFF4F5"/>
    <w:rsid w:val="BFD4EB47"/>
    <w:rsid w:val="CF5F61B3"/>
    <w:rsid w:val="FEE444B3"/>
    <w:rsid w:val="FFFAC3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6"/>
      <w:szCs w:val="36"/>
      <w:lang w:val="en-US" w:eastAsia="en-US"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148</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2014-10-31T12:08:00Z</dcterms:created>
  <dc:creator>ZJY</dc:creator>
  <cp:lastModifiedBy>Administrator</cp:lastModifiedBy>
  <cp:lastPrinted>2024-12-04T16:52:00Z</cp:lastPrinted>
  <dcterms:modified xsi:type="dcterms:W3CDTF">2024-12-11T06:09:12Z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82CFDCC4D98E48C0A7771CCACFA099A5_12</vt:lpwstr>
  </property>
</Properties>
</file>