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both"/>
        <w:rPr>
          <w:rFonts w:hint="eastAsia" w:ascii="方正小标宋简体" w:hAnsi="方正小标宋简体" w:eastAsia="方正小标宋简体" w:cs="方正小标宋简体"/>
          <w:sz w:val="44"/>
          <w:szCs w:val="44"/>
        </w:rPr>
      </w:pPr>
    </w:p>
    <w:p>
      <w:pPr>
        <w:tabs>
          <w:tab w:val="left" w:pos="7944"/>
        </w:tabs>
        <w:spacing w:line="500" w:lineRule="exact"/>
        <w:jc w:val="left"/>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ab/>
      </w: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keepNext w:val="0"/>
        <w:keepLines w:val="0"/>
        <w:pageBreakBefore w:val="0"/>
        <w:widowControl w:val="0"/>
        <w:tabs>
          <w:tab w:val="center" w:pos="4482"/>
          <w:tab w:val="right" w:pos="8845"/>
        </w:tabs>
        <w:kinsoku/>
        <w:wordWrap/>
        <w:overflowPunct/>
        <w:topLinePunct w:val="0"/>
        <w:autoSpaceDE/>
        <w:autoSpaceDN/>
        <w:bidi w:val="0"/>
        <w:adjustRightInd/>
        <w:snapToGrid/>
        <w:spacing w:after="471" w:afterLines="150" w:afterAutospacing="0" w:line="480" w:lineRule="exact"/>
        <w:jc w:val="center"/>
        <w:textAlignment w:val="auto"/>
        <w:outlineLvl w:val="9"/>
        <w:rPr>
          <w:rFonts w:hint="eastAsia" w:ascii="黑体" w:hAnsi="黑体" w:eastAsia="黑体" w:cs="黑体"/>
          <w:sz w:val="32"/>
          <w:szCs w:val="32"/>
        </w:rPr>
      </w:pPr>
      <w:r>
        <w:rPr>
          <w:rFonts w:hint="eastAsia" w:ascii="仿宋_GB2312" w:hAnsi="仿宋" w:eastAsia="仿宋_GB2312"/>
          <w:sz w:val="32"/>
          <w:szCs w:val="32"/>
        </w:rPr>
        <w:t>沪崇中府</w:t>
      </w:r>
      <w:r>
        <w:rPr>
          <w:rFonts w:hint="eastAsia" w:ascii="仿宋_GB2312" w:hAnsi="宋体" w:eastAsia="仿宋_GB2312"/>
          <w:sz w:val="32"/>
          <w:szCs w:val="32"/>
        </w:rPr>
        <w:t>〔20</w:t>
      </w:r>
      <w:r>
        <w:rPr>
          <w:rFonts w:hint="eastAsia" w:ascii="仿宋_GB2312" w:hAnsi="宋体" w:eastAsia="仿宋_GB2312"/>
          <w:sz w:val="32"/>
          <w:szCs w:val="32"/>
          <w:lang w:val="en-US" w:eastAsia="zh-CN"/>
        </w:rPr>
        <w:t>23</w:t>
      </w:r>
      <w:r>
        <w:rPr>
          <w:rFonts w:hint="eastAsia" w:ascii="仿宋_GB2312" w:hAnsi="宋体" w:eastAsia="仿宋_GB2312"/>
          <w:sz w:val="32"/>
          <w:szCs w:val="32"/>
        </w:rPr>
        <w:t>〕</w:t>
      </w:r>
      <w:r>
        <w:rPr>
          <w:rFonts w:hint="eastAsia" w:ascii="仿宋_GB2312" w:hAnsi="宋体" w:eastAsia="仿宋_GB2312"/>
          <w:sz w:val="32"/>
          <w:szCs w:val="32"/>
          <w:lang w:val="en-US" w:eastAsia="zh-CN"/>
        </w:rPr>
        <w:t>46</w:t>
      </w:r>
      <w:r>
        <w:rPr>
          <w:rFonts w:hint="eastAsia" w:ascii="仿宋_GB2312" w:hAnsi="宋体" w:eastAsia="仿宋_GB2312"/>
          <w:sz w:val="32"/>
          <w:szCs w:val="32"/>
        </w:rPr>
        <w:t>号</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关于印发《中兴镇水产养殖尾水长效管理</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方案暨考核办法》的通知</w:t>
      </w:r>
    </w:p>
    <w:p>
      <w:pPr>
        <w:pStyle w:val="2"/>
        <w:keepNext w:val="0"/>
        <w:keepLines w:val="0"/>
        <w:pageBreakBefore w:val="0"/>
        <w:widowControl w:val="0"/>
        <w:kinsoku/>
        <w:wordWrap/>
        <w:overflowPunct/>
        <w:topLinePunct w:val="0"/>
        <w:autoSpaceDE/>
        <w:autoSpaceDN/>
        <w:bidi w:val="0"/>
        <w:adjustRightInd/>
        <w:spacing w:line="560" w:lineRule="exact"/>
        <w:ind w:left="0" w:leftChars="0" w:right="0" w:rightChars="0"/>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第三方养护单位、相关村：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为巩固我镇水产养殖尾水治理工程建设成果，我镇根据《崇明区水产养殖尾水治理长效管理考核办法》（沪崇农发〔2023〕 4号），结合我镇水产养殖尾水治理现状，特制定了《中兴镇水产养殖尾水长效管理方案暨考核办法》。现印发给你们，请认真贯彻落实。 </w:t>
      </w:r>
    </w:p>
    <w:p>
      <w:pPr>
        <w:pStyle w:val="2"/>
        <w:keepNext w:val="0"/>
        <w:keepLines w:val="0"/>
        <w:pageBreakBefore w:val="0"/>
        <w:widowControl w:val="0"/>
        <w:kinsoku/>
        <w:wordWrap/>
        <w:overflowPunct/>
        <w:topLinePunct w:val="0"/>
        <w:autoSpaceDE/>
        <w:autoSpaceDN/>
        <w:bidi w:val="0"/>
        <w:adjustRightInd/>
        <w:spacing w:line="560" w:lineRule="exact"/>
        <w:ind w:left="0" w:leftChars="0" w:right="0" w:rightChars="0"/>
        <w:textAlignment w:val="auto"/>
        <w:rPr>
          <w:rFonts w:hint="eastAsia"/>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附件1：中兴镇水产养殖尾水长效管理方案暨考核办法</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280" w:firstLineChars="4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2：中兴镇水产养殖尾水治理年度计划</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280" w:firstLineChars="4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3：中兴镇水产养殖尾水水质检测方案</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1280" w:firstLineChars="4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4：中兴镇水产养殖尾水治理养护考核评分表</w:t>
      </w: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420"/>
        <w:jc w:val="center"/>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上海市崇明区中兴镇人民政府                                                       </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eastAsia="仿宋_GB2312"/>
          <w:sz w:val="32"/>
          <w:szCs w:val="32"/>
          <w:lang w:val="en-US" w:eastAsia="zh-CN"/>
        </w:rPr>
        <w:t xml:space="preserve"> 2023年8月31日</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ascii="仿宋_GB2312" w:hAnsi="仿宋_GB2312" w:eastAsia="仿宋_GB2312" w:cs="仿宋_GB2312"/>
          <w:sz w:val="32"/>
          <w:szCs w:val="32"/>
          <w:lang w:val="en-US" w:eastAsia="zh-CN"/>
        </w:rPr>
      </w:pPr>
    </w:p>
    <w:p>
      <w:pPr>
        <w:rPr>
          <w:rFonts w:hint="eastAsia" w:ascii="仿宋_GB2312" w:hAnsi="仿宋_GB2312" w:eastAsia="仿宋_GB2312" w:cs="仿宋_GB2312"/>
          <w:sz w:val="32"/>
          <w:szCs w:val="32"/>
          <w:lang w:val="en-US" w:eastAsia="zh-CN"/>
        </w:rPr>
      </w:pPr>
    </w:p>
    <w:p>
      <w:pPr>
        <w:pStyle w:val="2"/>
        <w:rPr>
          <w:rFonts w:hint="eastAsia"/>
          <w:lang w:val="en-US" w:eastAsia="zh-CN"/>
        </w:rPr>
      </w:pPr>
    </w:p>
    <w:p>
      <w:pPr>
        <w:pStyle w:val="2"/>
        <w:rPr>
          <w:rFonts w:hint="eastAsia" w:ascii="仿宋_GB2312" w:hAnsi="仿宋_GB2312" w:eastAsia="仿宋_GB2312" w:cs="仿宋_GB2312"/>
          <w:sz w:val="32"/>
          <w:szCs w:val="32"/>
          <w:lang w:val="en-US" w:eastAsia="zh-CN"/>
        </w:rPr>
      </w:pPr>
    </w:p>
    <w:p>
      <w:pPr>
        <w:pStyle w:val="2"/>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val="0"/>
        <w:spacing w:line="240" w:lineRule="auto"/>
        <w:textAlignment w:val="auto"/>
        <w:outlineLvl w:val="9"/>
        <w:rPr>
          <w:rFonts w:hint="eastAsia" w:ascii="仿宋_GB2312" w:hAnsi="宋体" w:eastAsia="仿宋_GB2312"/>
          <w:sz w:val="20"/>
          <w:szCs w:val="11"/>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20" w:lineRule="exact"/>
        <w:ind w:firstLine="210" w:firstLineChars="100"/>
        <w:textAlignment w:val="auto"/>
        <w:rPr>
          <w:rFonts w:hint="eastAsia" w:ascii="仿宋_GB2312" w:hAnsi="仿宋_GB2312" w:eastAsia="仿宋_GB2312" w:cs="仿宋_GB2312"/>
          <w:sz w:val="32"/>
          <w:szCs w:val="32"/>
          <w:lang w:val="en-US" w:eastAsia="zh-CN"/>
        </w:rPr>
      </w:pPr>
      <w:r>
        <w:rPr>
          <w:rFonts w:hint="default"/>
          <w:sz w:val="21"/>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375920</wp:posOffset>
                </wp:positionV>
                <wp:extent cx="5600700"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600700" cy="635"/>
                        </a:xfrm>
                        <a:prstGeom prst="line">
                          <a:avLst/>
                        </a:prstGeom>
                        <a:ln w="12700" cap="flat" cmpd="sng">
                          <a:solidFill>
                            <a:srgbClr val="000000"/>
                          </a:solidFill>
                          <a:prstDash val="solid"/>
                          <a:round/>
                          <a:headEnd type="none" w="med" len="med"/>
                          <a:tailEnd type="none" w="med" len="med"/>
                        </a:ln>
                        <a:effectLst/>
                      </wps:spPr>
                      <wps:bodyPr upright="1"/>
                    </wps:wsp>
                  </a:graphicData>
                </a:graphic>
              </wp:anchor>
            </w:drawing>
          </mc:Choice>
          <mc:Fallback>
            <w:pict>
              <v:line id="_x0000_s1026" o:spid="_x0000_s1026" o:spt="20" style="position:absolute;left:0pt;margin-left:0pt;margin-top:29.6pt;height:0.05pt;width:441pt;z-index:251660288;mso-width-relative:page;mso-height-relative:page;" filled="f" stroked="t" coordsize="21600,21600" o:gfxdata="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Du8NIXVAAAABgEA&#10;AA8AAAAAAAAAAQAgAAAAIgAAAGRycy9kb3ducmV2LnhtbFBLAQIUABQAAAAIAIdO4kDnRifa5AEA&#10;ALEDAAAOAAAAAAAAAAEAIAAAACQBAABkcnMvZTJvRG9jLnhtbFBLBQYAAAAABgAGAFkBAAB6BQAA&#10;AAA=&#10;">
                <v:fill on="f" focussize="0,0"/>
                <v:stroke weight="1pt" color="#000000" joinstyle="round"/>
                <v:imagedata o:title=""/>
                <o:lock v:ext="edit" aspectratio="f"/>
              </v:line>
            </w:pict>
          </mc:Fallback>
        </mc:AlternateContent>
      </w:r>
      <w:r>
        <w:rPr>
          <w:rFonts w:hint="default"/>
          <w:sz w:val="21"/>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33020</wp:posOffset>
                </wp:positionV>
                <wp:extent cx="5600700" cy="635"/>
                <wp:effectExtent l="0" t="0" r="0" b="0"/>
                <wp:wrapNone/>
                <wp:docPr id="2" name="直接连接符 2"/>
                <wp:cNvGraphicFramePr/>
                <a:graphic xmlns:a="http://schemas.openxmlformats.org/drawingml/2006/main">
                  <a:graphicData uri="http://schemas.microsoft.com/office/word/2010/wordprocessingShape">
                    <wps:wsp>
                      <wps:cNvCnPr/>
                      <wps:spPr>
                        <a:xfrm>
                          <a:off x="0" y="0"/>
                          <a:ext cx="5600700" cy="635"/>
                        </a:xfrm>
                        <a:prstGeom prst="line">
                          <a:avLst/>
                        </a:prstGeom>
                        <a:ln w="12700" cap="flat" cmpd="sng">
                          <a:solidFill>
                            <a:srgbClr val="000000"/>
                          </a:solidFill>
                          <a:prstDash val="solid"/>
                          <a:round/>
                          <a:headEnd type="none" w="med" len="med"/>
                          <a:tailEnd type="none" w="med" len="med"/>
                        </a:ln>
                        <a:effectLst/>
                      </wps:spPr>
                      <wps:bodyPr upright="1"/>
                    </wps:wsp>
                  </a:graphicData>
                </a:graphic>
              </wp:anchor>
            </w:drawing>
          </mc:Choice>
          <mc:Fallback>
            <w:pict>
              <v:line id="_x0000_s1026" o:spid="_x0000_s1026" o:spt="20" style="position:absolute;left:0pt;margin-left:0pt;margin-top:2.6pt;height:0.05pt;width:441pt;z-index:251661312;mso-width-relative:page;mso-height-relative:page;" filled="f" stroked="t" coordsize="21600,21600" o:gfxdata="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EOWq9HTAAAABAEAAA8A&#10;AAAAAAAAAQAgAAAAIgAAAGRycy9kb3ducmV2LnhtbFBLAQIUABQAAAAIAIdO4kBPrc/d4wEAALED&#10;AAAOAAAAAAAAAAEAIAAAACIBAABkcnMvZTJvRG9jLnhtbFBLBQYAAAAABgAGAFkBAAB3BQAAAAA=&#10;">
                <v:fill on="f" focussize="0,0"/>
                <v:stroke weight="1pt" color="#000000" joinstyle="round"/>
                <v:imagedata o:title=""/>
                <o:lock v:ext="edit" aspectratio="f"/>
              </v:line>
            </w:pict>
          </mc:Fallback>
        </mc:AlternateContent>
      </w:r>
      <w:r>
        <w:rPr>
          <w:rFonts w:hint="eastAsia" w:ascii="仿宋_GB2312" w:hAnsi="宋体" w:eastAsia="仿宋_GB2312"/>
          <w:sz w:val="28"/>
          <w:lang w:val="en-US" w:eastAsia="zh-CN"/>
        </w:rPr>
        <w:t>上海市</w:t>
      </w:r>
      <w:r>
        <w:rPr>
          <w:rFonts w:hint="eastAsia" w:ascii="仿宋_GB2312" w:hAnsi="宋体" w:eastAsia="仿宋_GB2312"/>
          <w:sz w:val="28"/>
        </w:rPr>
        <w:t>崇明</w:t>
      </w:r>
      <w:r>
        <w:rPr>
          <w:rFonts w:hint="eastAsia" w:ascii="仿宋_GB2312" w:hAnsi="宋体" w:eastAsia="仿宋_GB2312"/>
          <w:sz w:val="28"/>
          <w:lang w:val="en-US" w:eastAsia="zh-CN"/>
        </w:rPr>
        <w:t>区</w:t>
      </w:r>
      <w:r>
        <w:rPr>
          <w:rFonts w:hint="eastAsia" w:ascii="仿宋_GB2312" w:hAnsi="宋体" w:eastAsia="仿宋_GB2312"/>
          <w:sz w:val="28"/>
        </w:rPr>
        <w:t xml:space="preserve">中兴镇人民政府办公室    </w:t>
      </w:r>
      <w:r>
        <w:rPr>
          <w:rFonts w:hint="eastAsia" w:ascii="仿宋_GB2312" w:hAnsi="宋体" w:eastAsia="仿宋_GB2312"/>
          <w:sz w:val="28"/>
          <w:lang w:val="en-US" w:eastAsia="zh-CN"/>
        </w:rPr>
        <w:t xml:space="preserve">  </w:t>
      </w:r>
      <w:r>
        <w:rPr>
          <w:rFonts w:hint="eastAsia" w:ascii="仿宋_GB2312" w:hAnsi="宋体"/>
          <w:sz w:val="28"/>
          <w:lang w:val="en-US" w:eastAsia="zh-CN"/>
        </w:rPr>
        <w:t xml:space="preserve">  </w:t>
      </w:r>
      <w:r>
        <w:rPr>
          <w:rFonts w:hint="eastAsia" w:ascii="仿宋_GB2312" w:hAnsi="宋体" w:eastAsia="仿宋_GB2312"/>
          <w:sz w:val="28"/>
        </w:rPr>
        <w:t xml:space="preserve"> 20</w:t>
      </w:r>
      <w:r>
        <w:rPr>
          <w:rFonts w:hint="eastAsia" w:ascii="仿宋_GB2312" w:hAnsi="宋体" w:eastAsia="仿宋_GB2312"/>
          <w:sz w:val="28"/>
          <w:lang w:val="en-US" w:eastAsia="zh-CN"/>
        </w:rPr>
        <w:t>23</w:t>
      </w:r>
      <w:r>
        <w:rPr>
          <w:rFonts w:hint="eastAsia" w:ascii="仿宋_GB2312" w:hAnsi="宋体" w:eastAsia="仿宋_GB2312"/>
          <w:sz w:val="28"/>
        </w:rPr>
        <w:t>年</w:t>
      </w:r>
      <w:r>
        <w:rPr>
          <w:rFonts w:hint="eastAsia" w:ascii="仿宋_GB2312" w:hAnsi="宋体" w:eastAsia="仿宋_GB2312"/>
          <w:sz w:val="28"/>
          <w:lang w:val="en-US" w:eastAsia="zh-CN"/>
        </w:rPr>
        <w:t>8</w:t>
      </w:r>
      <w:r>
        <w:rPr>
          <w:rFonts w:hint="eastAsia" w:ascii="仿宋_GB2312" w:hAnsi="宋体" w:eastAsia="仿宋_GB2312"/>
          <w:sz w:val="28"/>
        </w:rPr>
        <w:t>月</w:t>
      </w:r>
      <w:r>
        <w:rPr>
          <w:rFonts w:hint="eastAsia" w:ascii="仿宋_GB2312" w:hAnsi="宋体" w:eastAsia="仿宋_GB2312"/>
          <w:sz w:val="28"/>
          <w:lang w:val="en-US" w:eastAsia="zh-CN"/>
        </w:rPr>
        <w:t>31</w:t>
      </w:r>
      <w:r>
        <w:rPr>
          <w:rFonts w:hint="eastAsia" w:ascii="仿宋_GB2312" w:hAnsi="宋体" w:eastAsia="仿宋_GB2312"/>
          <w:sz w:val="28"/>
        </w:rPr>
        <w:t>日印</w:t>
      </w:r>
      <w:r>
        <w:rPr>
          <w:rFonts w:hint="eastAsia" w:ascii="仿宋_GB2312" w:hAnsi="宋体" w:eastAsia="仿宋_GB2312"/>
          <w:sz w:val="28"/>
          <w:lang w:val="en-US" w:eastAsia="zh-CN"/>
        </w:rPr>
        <w:t>发</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附件1:</w:t>
      </w:r>
    </w:p>
    <w:p>
      <w:pPr>
        <w:pStyle w:val="2"/>
        <w:rPr>
          <w:rFonts w:hint="eastAsia"/>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center"/>
        <w:textAlignment w:val="auto"/>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中兴镇水产养殖尾水长效管理方案暨考核办法</w:t>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320" w:firstLineChars="1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根据《崇明区水产养殖尾水治理长效管理考核办法》（沪崇农发〔2023〕 4号）的工作要求，为进一步巩固我镇水产养殖尾水治理项目的建设成果，保障治理设施（设备）的长期、正常、稳定运行，规范尾水治理点位养护作业和考核工作，结合我镇实际，特制定本方案。</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641"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组织领导</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中兴镇成立以分管领导任组长的水产养殖尾水治理工作专班。</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组  长：沈  俭    副镇长</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副组长：陈  醇    镇农业农村办主任</w:t>
      </w:r>
    </w:p>
    <w:p>
      <w:pPr>
        <w:pStyle w:val="2"/>
        <w:keepNext w:val="0"/>
        <w:keepLines w:val="0"/>
        <w:pageBreakBefore w:val="0"/>
        <w:widowControl w:val="0"/>
        <w:kinsoku/>
        <w:wordWrap/>
        <w:overflowPunct/>
        <w:topLinePunct w:val="0"/>
        <w:autoSpaceDE/>
        <w:autoSpaceDN/>
        <w:bidi w:val="0"/>
        <w:adjustRightInd/>
        <w:spacing w:line="560" w:lineRule="exact"/>
        <w:ind w:left="0" w:leftChars="0" w:right="0" w:rightChars="0"/>
        <w:textAlignment w:val="auto"/>
        <w:outlineLvl w:val="9"/>
        <w:rPr>
          <w:rFonts w:hint="default"/>
          <w:sz w:val="32"/>
          <w:szCs w:val="32"/>
          <w:lang w:val="en-US" w:eastAsia="zh-CN"/>
        </w:rPr>
      </w:pPr>
      <w:r>
        <w:rPr>
          <w:rFonts w:hint="eastAsia" w:ascii="仿宋_GB2312" w:hAnsi="仿宋_GB2312" w:eastAsia="仿宋_GB2312" w:cs="仿宋_GB2312"/>
          <w:sz w:val="32"/>
          <w:szCs w:val="32"/>
          <w:lang w:val="en-US" w:eastAsia="zh-CN"/>
        </w:rPr>
        <w:t xml:space="preserve">            沈利平    镇农技中心主任</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成  员：宋旭栋    镇农业农村办</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袁一雷    镇农技中心</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641"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实施目标</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中兴镇水产养殖尾水治理共涉及5个村，36个水产养殖尾水治理点位。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本镇根据实际情况，摸底排查本镇</w:t>
      </w:r>
      <w:r>
        <w:rPr>
          <w:rFonts w:hint="eastAsia" w:ascii="仿宋_GB2312" w:hAnsi="仿宋_GB2312" w:eastAsia="仿宋_GB2312" w:cs="仿宋_GB2312"/>
          <w:color w:val="000000" w:themeColor="text1"/>
          <w:sz w:val="32"/>
          <w:szCs w:val="32"/>
          <w:lang w:val="en-US" w:eastAsia="zh-Hans"/>
          <w14:textFill>
            <w14:solidFill>
              <w14:schemeClr w14:val="tx1"/>
            </w14:solidFill>
          </w14:textFill>
        </w:rPr>
        <w:t>水产养殖尾水</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治理</w:t>
      </w:r>
      <w:r>
        <w:rPr>
          <w:rFonts w:hint="eastAsia" w:ascii="仿宋_GB2312" w:hAnsi="仿宋_GB2312" w:eastAsia="仿宋_GB2312" w:cs="仿宋_GB2312"/>
          <w:color w:val="000000" w:themeColor="text1"/>
          <w:sz w:val="32"/>
          <w:szCs w:val="32"/>
          <w:lang w:val="en-US" w:eastAsia="zh-Hans"/>
          <w14:textFill>
            <w14:solidFill>
              <w14:schemeClr w14:val="tx1"/>
            </w14:solidFill>
          </w14:textFill>
        </w:rPr>
        <w:t>工</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程建设情况；全面掌握其分布、数量，制定切实可行的日常维护管理制度；积极开展定期的自查自纠；</w:t>
      </w:r>
      <w:r>
        <w:rPr>
          <w:rFonts w:hint="eastAsia" w:ascii="仿宋_GB2312" w:hAnsi="仿宋_GB2312" w:eastAsia="仿宋_GB2312" w:cs="仿宋_GB2312"/>
          <w:sz w:val="32"/>
          <w:szCs w:val="32"/>
          <w:lang w:val="en-US" w:eastAsia="zh-CN"/>
        </w:rPr>
        <w:t>保持水产养殖尾水治理点的设施（设备）完好，运行正常；建立健全日常运行维护管理制度，确保养殖排放水符合《淡水池塘养殖水排放要求》（SC/T9101-2007）一级标准。</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641"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考核对象</w:t>
      </w:r>
    </w:p>
    <w:p>
      <w:pPr>
        <w:keepNext w:val="0"/>
        <w:keepLines w:val="0"/>
        <w:pageBreakBefore w:val="0"/>
        <w:widowControl w:val="0"/>
        <w:numPr>
          <w:ilvl w:val="0"/>
          <w:numId w:val="0"/>
        </w:numPr>
        <w:kinsoku/>
        <w:wordWrap/>
        <w:overflowPunct/>
        <w:topLinePunct w:val="0"/>
        <w:autoSpaceDE/>
        <w:autoSpaceDN/>
        <w:bidi w:val="0"/>
        <w:adjustRightInd w:val="0"/>
        <w:snapToGrid w:val="0"/>
        <w:spacing w:line="560" w:lineRule="exact"/>
        <w:ind w:left="0" w:leftChars="0" w:right="0" w:rightChars="0" w:firstLine="640" w:firstLineChars="200"/>
        <w:jc w:val="both"/>
        <w:textAlignment w:val="auto"/>
        <w:outlineLvl w:val="9"/>
        <w:rPr>
          <w:rFonts w:hint="default"/>
          <w:sz w:val="32"/>
          <w:szCs w:val="32"/>
          <w:lang w:val="en-US" w:eastAsia="zh-CN"/>
        </w:rPr>
      </w:pPr>
      <w:r>
        <w:rPr>
          <w:rFonts w:hint="eastAsia" w:ascii="仿宋_GB2312" w:hAnsi="仿宋_GB2312" w:eastAsia="仿宋_GB2312" w:cs="仿宋_GB2312"/>
          <w:sz w:val="32"/>
          <w:szCs w:val="32"/>
          <w:highlight w:val="none"/>
          <w:lang w:val="en-US" w:eastAsia="zh-CN"/>
        </w:rPr>
        <w:t>水产养殖户、第三方运维养护单位和涉及水产养殖尾水治理点位的村委会为责任主体。</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641"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实施内容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镇政府职能部门按照《崇明区水产养殖尾水治理长效管理考核办法》负责考核第三方养护单位和涉及水产养殖尾水治理的村委会，由镇农业农村办负责监督指导，镇农技中心负责监督检查。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（一）考核内容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1" w:firstLine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按照《水产养殖尾水排放标准》，镇职能部门定期开展水产尾水水质自检工作，发现不达标情况，告知村委会和养护单位，督促养殖主体进行整改，确保水质达标。区及区级单位发现水质不达标，实施一票否决制。</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1" w:firstLine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水产养殖户：</w:t>
      </w:r>
      <w:r>
        <w:rPr>
          <w:rFonts w:hint="eastAsia" w:ascii="仿宋_GB2312" w:hAnsi="仿宋_GB2312" w:eastAsia="仿宋_GB2312" w:cs="仿宋_GB2312"/>
          <w:sz w:val="32"/>
          <w:szCs w:val="32"/>
          <w:lang w:val="en-US" w:eastAsia="zh-CN"/>
        </w:rPr>
        <w:t>养殖户要按时开启尾水处理设施，出现设配问题及时向镇级部门和运维单位反应。严禁在尾水处理塘内开展养殖作业、严禁破坏或拆除设施设备，积极配合区、镇级部门和运维单位对尾水治理项目设施设备的维护检查和水质检测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1" w:firstLine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村级：</w:t>
      </w:r>
      <w:r>
        <w:rPr>
          <w:rFonts w:hint="eastAsia" w:ascii="仿宋_GB2312" w:hAnsi="仿宋_GB2312" w:eastAsia="仿宋_GB2312" w:cs="仿宋_GB2312"/>
          <w:sz w:val="32"/>
          <w:szCs w:val="32"/>
          <w:lang w:val="en-US" w:eastAsia="zh-CN"/>
        </w:rPr>
        <w:t>涉及水产养殖尾水治理的村民委员会，应加强宣传禁止在尾水处理池内养殖行为和未经处理的尾水乱排放现象，每周一次对养殖户例行巡察，确保设施设备无违规摘除，尾水处理塘内无水产品养殖，配合镇级部门做好水质检测、年度检查等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1" w:firstLine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b/>
          <w:bCs/>
          <w:sz w:val="32"/>
          <w:szCs w:val="32"/>
          <w:lang w:val="en-US" w:eastAsia="zh-CN"/>
        </w:rPr>
        <w:t>养护单位：</w:t>
      </w:r>
      <w:r>
        <w:rPr>
          <w:rFonts w:hint="eastAsia" w:ascii="仿宋_GB2312" w:hAnsi="仿宋_GB2312" w:eastAsia="仿宋_GB2312" w:cs="仿宋_GB2312"/>
          <w:sz w:val="32"/>
          <w:szCs w:val="32"/>
          <w:lang w:val="en-US" w:eastAsia="zh-CN"/>
        </w:rPr>
        <w:t>建立健全养护制度，每周对所有点位进行一次巡查，并做好巡查台账。主要涉及1）植物材料病虫害情况；2）攀爬及寄生植物情况；3）植物长势情况，对死亡缺株的情况，要及时补植，保证净化塘净化作用和整齐美观；4）有无枯黄枝及折断枝；5）汛期做好预防工作，加强电机、管道、阀门等维修和保养；6）生物栅、微生物填料的维护保养等。保障尾水治理水质质量。</w:t>
      </w:r>
      <w:r>
        <w:rPr>
          <w:rFonts w:hint="eastAsia" w:ascii="仿宋_GB2312" w:hAnsi="仿宋_GB2312" w:eastAsia="仿宋_GB2312" w:cs="仿宋_GB2312"/>
          <w:sz w:val="32"/>
          <w:szCs w:val="32"/>
          <w:highlight w:val="none"/>
          <w:lang w:val="en-US" w:eastAsia="zh-CN"/>
        </w:rPr>
        <w:t>每月底对巡查记录进行梳理，对发现问题及解决情况进行汇总，形成书面月报材料。</w:t>
      </w:r>
    </w:p>
    <w:p>
      <w:pPr>
        <w:keepNext w:val="0"/>
        <w:keepLines w:val="0"/>
        <w:pageBreakBefore w:val="0"/>
        <w:widowControl w:val="0"/>
        <w:numPr>
          <w:numId w:val="0"/>
        </w:numPr>
        <w:kinsoku/>
        <w:wordWrap/>
        <w:overflowPunct/>
        <w:topLinePunct w:val="0"/>
        <w:autoSpaceDE/>
        <w:autoSpaceDN/>
        <w:bidi w:val="0"/>
        <w:adjustRightInd/>
        <w:snapToGrid/>
        <w:spacing w:line="560" w:lineRule="exact"/>
        <w:ind w:left="420" w:leftChars="200" w:right="0" w:rightChars="0" w:firstLine="0" w:firstLineChars="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（二）考核方式</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年度考核：年度考核分为上下半年两次进行，每年考核两次。上半年考核在5月进行，下半年考核在11月进行。镇农业农村办组织检查小组，每组不少于3人，采取随机点位抽查，每次考核抽查点位数量不少于5个；采取百分制考核（详见附件3）。</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（三）考核结果应用</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1" w:firstLineChars="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本考核得分将安权重计入各水产涉及村的年度绩效考核，向运维方根据考核成果支付运维费用。区及区级单位发现水质检测不达标，实施一票否决制，养殖户的水产相关补贴资格一律取消。</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p>
      <w:pPr>
        <w:rPr>
          <w:rFonts w:hint="eastAsia" w:ascii="仿宋_GB2312" w:hAnsi="仿宋_GB2312" w:eastAsia="仿宋_GB2312" w:cs="仿宋_GB2312"/>
          <w:sz w:val="21"/>
          <w:szCs w:val="21"/>
          <w:lang w:val="en-US" w:eastAsia="zh-CN"/>
        </w:rPr>
      </w:pPr>
      <w:r>
        <w:rPr>
          <w:rFonts w:hint="eastAsia" w:ascii="仿宋_GB2312" w:hAnsi="仿宋_GB2312" w:eastAsia="仿宋_GB2312" w:cs="仿宋_GB2312"/>
          <w:sz w:val="21"/>
          <w:szCs w:val="21"/>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中兴镇水产养殖尾水治理年度计划</w:t>
      </w:r>
    </w:p>
    <w:p>
      <w:pPr>
        <w:pStyle w:val="3"/>
        <w:rPr>
          <w:rFonts w:hint="default"/>
          <w:lang w:val="en-US" w:eastAsia="zh-CN"/>
        </w:rPr>
      </w:pPr>
    </w:p>
    <w:tbl>
      <w:tblPr>
        <w:tblStyle w:val="10"/>
        <w:tblW w:w="9264" w:type="dxa"/>
        <w:tblInd w:w="-56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13"/>
        <w:gridCol w:w="6661"/>
        <w:gridCol w:w="10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10"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hint="eastAsia" w:ascii="仿宋_GB2312" w:hAnsi="仿宋_GB2312" w:eastAsia="仿宋_GB2312" w:cs="仿宋_GB2312"/>
                <w:b/>
                <w:bCs/>
                <w:spacing w:val="2"/>
                <w:sz w:val="22"/>
                <w:szCs w:val="22"/>
                <w:lang w:eastAsia="zh-CN"/>
              </w:rPr>
            </w:pPr>
            <w:r>
              <w:rPr>
                <w:rFonts w:hint="eastAsia" w:ascii="仿宋_GB2312" w:hAnsi="仿宋_GB2312" w:eastAsia="仿宋_GB2312" w:cs="仿宋_GB2312"/>
                <w:b/>
                <w:bCs/>
                <w:spacing w:val="2"/>
                <w:sz w:val="22"/>
                <w:szCs w:val="22"/>
                <w:lang w:eastAsia="zh-CN"/>
              </w:rPr>
              <w:t>月份</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hint="eastAsia" w:ascii="仿宋_GB2312" w:hAnsi="仿宋_GB2312" w:eastAsia="仿宋_GB2312" w:cs="仿宋_GB2312"/>
                <w:b/>
                <w:bCs/>
                <w:spacing w:val="2"/>
                <w:sz w:val="22"/>
                <w:szCs w:val="22"/>
                <w:lang w:eastAsia="zh-CN"/>
              </w:rPr>
            </w:pPr>
            <w:r>
              <w:rPr>
                <w:rFonts w:hint="eastAsia" w:ascii="仿宋_GB2312" w:hAnsi="仿宋_GB2312" w:eastAsia="仿宋_GB2312" w:cs="仿宋_GB2312"/>
                <w:b/>
                <w:bCs/>
                <w:spacing w:val="2"/>
                <w:sz w:val="22"/>
                <w:szCs w:val="22"/>
                <w:lang w:eastAsia="zh-CN"/>
              </w:rPr>
              <w:t>工作内容</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hint="eastAsia" w:ascii="仿宋_GB2312" w:hAnsi="仿宋_GB2312" w:eastAsia="仿宋_GB2312" w:cs="仿宋_GB2312"/>
                <w:b/>
                <w:bCs/>
                <w:spacing w:val="2"/>
                <w:sz w:val="22"/>
                <w:szCs w:val="22"/>
                <w:lang w:eastAsia="zh-CN"/>
              </w:rPr>
            </w:pPr>
            <w:r>
              <w:rPr>
                <w:rFonts w:hint="eastAsia" w:ascii="仿宋_GB2312" w:hAnsi="仿宋_GB2312" w:eastAsia="仿宋_GB2312" w:cs="仿宋_GB2312"/>
                <w:b/>
                <w:bCs/>
                <w:spacing w:val="2"/>
                <w:sz w:val="22"/>
                <w:szCs w:val="22"/>
                <w:lang w:eastAsia="zh-CN"/>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80"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hint="default" w:ascii="仿宋_GB2312" w:hAnsi="仿宋_GB2312" w:eastAsia="仿宋_GB2312" w:cs="仿宋_GB2312"/>
                <w:spacing w:val="2"/>
                <w:sz w:val="22"/>
                <w:szCs w:val="22"/>
                <w:lang w:val="en-US" w:eastAsia="zh-CN"/>
              </w:rPr>
            </w:pPr>
            <w:r>
              <w:rPr>
                <w:rFonts w:hint="eastAsia" w:ascii="仿宋_GB2312" w:hAnsi="仿宋_GB2312" w:eastAsia="仿宋_GB2312" w:cs="仿宋_GB2312"/>
                <w:spacing w:val="2"/>
                <w:sz w:val="22"/>
                <w:szCs w:val="22"/>
                <w:lang w:val="en-US" w:eastAsia="zh-CN"/>
              </w:rPr>
              <w:t>1-3月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firstLine="448" w:firstLineChars="200"/>
              <w:textAlignment w:val="baseline"/>
              <w:rPr>
                <w:rFonts w:hint="eastAsia" w:ascii="仿宋_GB2312" w:hAnsi="仿宋_GB2312" w:eastAsia="仿宋_GB2312" w:cs="仿宋_GB2312"/>
                <w:spacing w:val="2"/>
                <w:sz w:val="22"/>
                <w:szCs w:val="22"/>
                <w:lang w:eastAsia="zh-CN"/>
              </w:rPr>
            </w:pPr>
            <w:r>
              <w:rPr>
                <w:rFonts w:hint="eastAsia" w:ascii="仿宋_GB2312" w:hAnsi="仿宋_GB2312" w:eastAsia="仿宋_GB2312" w:cs="仿宋_GB2312"/>
                <w:spacing w:val="2"/>
                <w:sz w:val="22"/>
                <w:szCs w:val="22"/>
                <w:lang w:eastAsia="zh-CN"/>
              </w:rPr>
              <w:t>制定中兴镇尾水治理项目长效运维管理制度，确定尾水治理工程的</w:t>
            </w:r>
            <w:r>
              <w:rPr>
                <w:rFonts w:hint="eastAsia" w:ascii="仿宋_GB2312" w:hAnsi="仿宋_GB2312" w:eastAsia="仿宋_GB2312" w:cs="仿宋_GB2312"/>
                <w:spacing w:val="2"/>
                <w:sz w:val="22"/>
                <w:szCs w:val="22"/>
                <w:lang w:val="en-US" w:eastAsia="zh-CN"/>
              </w:rPr>
              <w:t>2023</w:t>
            </w:r>
            <w:r>
              <w:rPr>
                <w:rFonts w:hint="eastAsia" w:ascii="仿宋_GB2312" w:hAnsi="仿宋_GB2312" w:eastAsia="仿宋_GB2312" w:cs="仿宋_GB2312"/>
                <w:spacing w:val="2"/>
                <w:sz w:val="22"/>
                <w:szCs w:val="22"/>
                <w:lang w:eastAsia="zh-CN"/>
              </w:rPr>
              <w:t>年度运维方，召集相关村负责人和水产养殖户做好政策宣传。</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233"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hint="default" w:ascii="仿宋_GB2312" w:hAnsi="仿宋_GB2312" w:eastAsia="仿宋_GB2312" w:cs="仿宋_GB2312"/>
                <w:spacing w:val="2"/>
                <w:sz w:val="22"/>
                <w:szCs w:val="22"/>
                <w:lang w:val="en-US" w:eastAsia="zh-CN"/>
              </w:rPr>
            </w:pPr>
            <w:r>
              <w:rPr>
                <w:rFonts w:hint="eastAsia" w:ascii="仿宋_GB2312" w:hAnsi="仿宋_GB2312" w:eastAsia="仿宋_GB2312" w:cs="仿宋_GB2312"/>
                <w:spacing w:val="2"/>
                <w:sz w:val="22"/>
                <w:szCs w:val="22"/>
                <w:lang w:val="en-US" w:eastAsia="zh-CN"/>
              </w:rPr>
              <w:t>3-4月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firstLine="448" w:firstLineChars="200"/>
              <w:textAlignment w:val="baseline"/>
              <w:rPr>
                <w:rFonts w:hint="eastAsia" w:ascii="仿宋_GB2312" w:hAnsi="仿宋_GB2312" w:eastAsia="仿宋_GB2312" w:cs="仿宋_GB2312"/>
                <w:spacing w:val="2"/>
                <w:sz w:val="22"/>
                <w:szCs w:val="22"/>
                <w:lang w:eastAsia="zh-CN"/>
              </w:rPr>
            </w:pPr>
            <w:r>
              <w:rPr>
                <w:rFonts w:hint="eastAsia" w:ascii="仿宋_GB2312" w:hAnsi="仿宋_GB2312" w:eastAsia="仿宋_GB2312" w:cs="仿宋_GB2312"/>
                <w:spacing w:val="2"/>
                <w:sz w:val="22"/>
                <w:szCs w:val="22"/>
                <w:lang w:eastAsia="zh-CN"/>
              </w:rPr>
              <w:t>开展尾水治理工程尾水排放检测工作，对</w:t>
            </w:r>
            <w:r>
              <w:rPr>
                <w:rFonts w:hint="eastAsia" w:ascii="仿宋_GB2312" w:hAnsi="仿宋_GB2312" w:eastAsia="仿宋_GB2312" w:cs="仿宋_GB2312"/>
                <w:spacing w:val="2"/>
                <w:sz w:val="22"/>
                <w:szCs w:val="22"/>
              </w:rPr>
              <w:t>清塘换水未按规定操作</w:t>
            </w:r>
            <w:r>
              <w:rPr>
                <w:rFonts w:hint="eastAsia" w:ascii="仿宋_GB2312" w:hAnsi="仿宋_GB2312" w:eastAsia="仿宋_GB2312" w:cs="仿宋_GB2312"/>
                <w:spacing w:val="2"/>
                <w:sz w:val="22"/>
                <w:szCs w:val="22"/>
                <w:lang w:eastAsia="zh-CN"/>
              </w:rPr>
              <w:t>、</w:t>
            </w:r>
            <w:r>
              <w:rPr>
                <w:rFonts w:hint="eastAsia" w:ascii="仿宋_GB2312" w:hAnsi="仿宋_GB2312" w:eastAsia="仿宋_GB2312" w:cs="仿宋_GB2312"/>
                <w:spacing w:val="2"/>
                <w:sz w:val="22"/>
                <w:szCs w:val="22"/>
              </w:rPr>
              <w:t>设备损坏或进行抢修维护时排放尾水</w:t>
            </w:r>
            <w:r>
              <w:rPr>
                <w:rFonts w:hint="eastAsia" w:ascii="仿宋_GB2312" w:hAnsi="仿宋_GB2312" w:eastAsia="仿宋_GB2312" w:cs="仿宋_GB2312"/>
                <w:spacing w:val="2"/>
                <w:sz w:val="22"/>
                <w:szCs w:val="22"/>
                <w:lang w:eastAsia="zh-CN"/>
              </w:rPr>
              <w:t>、</w:t>
            </w:r>
            <w:r>
              <w:rPr>
                <w:rFonts w:hint="eastAsia" w:ascii="仿宋_GB2312" w:hAnsi="仿宋_GB2312" w:eastAsia="仿宋_GB2312" w:cs="仿宋_GB2312"/>
                <w:spacing w:val="2"/>
                <w:sz w:val="22"/>
                <w:szCs w:val="22"/>
              </w:rPr>
              <w:t>水排放水质不达标</w:t>
            </w:r>
            <w:r>
              <w:rPr>
                <w:rFonts w:hint="eastAsia" w:ascii="仿宋_GB2312" w:hAnsi="仿宋_GB2312" w:eastAsia="仿宋_GB2312" w:cs="仿宋_GB2312"/>
                <w:spacing w:val="2"/>
                <w:sz w:val="22"/>
                <w:szCs w:val="22"/>
                <w:lang w:eastAsia="zh-CN"/>
              </w:rPr>
              <w:t>的养殖户进行约谈并要求运维方配合做好整改工作。</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56"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hint="default" w:ascii="仿宋_GB2312" w:hAnsi="仿宋_GB2312" w:eastAsia="仿宋_GB2312" w:cs="仿宋_GB2312"/>
                <w:spacing w:val="2"/>
                <w:sz w:val="22"/>
                <w:szCs w:val="22"/>
                <w:lang w:val="en-US" w:eastAsia="zh-CN"/>
              </w:rPr>
            </w:pPr>
            <w:r>
              <w:rPr>
                <w:rFonts w:hint="eastAsia" w:ascii="仿宋_GB2312" w:hAnsi="仿宋_GB2312" w:eastAsia="仿宋_GB2312" w:cs="仿宋_GB2312"/>
                <w:spacing w:val="2"/>
                <w:sz w:val="22"/>
                <w:szCs w:val="22"/>
                <w:lang w:val="en-US" w:eastAsia="zh-CN"/>
              </w:rPr>
              <w:t>5月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firstLine="448" w:firstLineChars="200"/>
              <w:textAlignment w:val="baseline"/>
              <w:rPr>
                <w:rFonts w:hint="eastAsia" w:ascii="仿宋_GB2312" w:hAnsi="仿宋_GB2312" w:eastAsia="仿宋_GB2312" w:cs="仿宋_GB2312"/>
                <w:spacing w:val="2"/>
                <w:sz w:val="22"/>
                <w:szCs w:val="22"/>
                <w:lang w:eastAsia="zh-CN"/>
              </w:rPr>
            </w:pPr>
            <w:r>
              <w:rPr>
                <w:rFonts w:hint="eastAsia" w:ascii="仿宋_GB2312" w:hAnsi="仿宋_GB2312" w:eastAsia="仿宋_GB2312" w:cs="仿宋_GB2312"/>
                <w:spacing w:val="2"/>
                <w:sz w:val="22"/>
                <w:szCs w:val="22"/>
                <w:lang w:eastAsia="zh-CN"/>
              </w:rPr>
              <w:t>开展池塘绿植专项检查工作，根据检查结果，及时补种池塘绿植，确保净化功能正常进行。</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689"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leftChars="0" w:right="57" w:rightChars="0"/>
              <w:jc w:val="center"/>
              <w:textAlignment w:val="baseline"/>
              <w:rPr>
                <w:rFonts w:hint="default"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sz w:val="22"/>
                <w:szCs w:val="22"/>
                <w:lang w:val="en-US" w:eastAsia="zh-CN"/>
              </w:rPr>
              <w:t>6月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leftChars="0" w:right="108" w:rightChars="0"/>
              <w:jc w:val="center"/>
              <w:textAlignment w:val="baseline"/>
              <w:rPr>
                <w:rFonts w:hint="eastAsia"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kern w:val="2"/>
                <w:sz w:val="22"/>
                <w:szCs w:val="22"/>
                <w:lang w:val="en-US" w:eastAsia="zh-CN" w:bidi="ar-SA"/>
              </w:rPr>
              <w:t>水质检测和半年度考核</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85"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leftChars="0" w:right="57" w:rightChars="0"/>
              <w:jc w:val="center"/>
              <w:textAlignment w:val="baseline"/>
              <w:rPr>
                <w:rFonts w:hint="default"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sz w:val="22"/>
                <w:szCs w:val="22"/>
                <w:lang w:val="en-US" w:eastAsia="zh-CN"/>
              </w:rPr>
              <w:t>7-8月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leftChars="0" w:right="108" w:rightChars="0" w:firstLine="448" w:firstLineChars="200"/>
              <w:textAlignment w:val="baseline"/>
              <w:rPr>
                <w:rFonts w:hint="eastAsia"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kern w:val="2"/>
                <w:sz w:val="22"/>
                <w:szCs w:val="22"/>
                <w:lang w:val="en-US" w:eastAsia="zh-CN" w:bidi="ar-SA"/>
              </w:rPr>
              <w:t>做好汛期检查，防止</w:t>
            </w:r>
            <w:r>
              <w:rPr>
                <w:rFonts w:hint="eastAsia" w:ascii="仿宋_GB2312" w:hAnsi="仿宋_GB2312" w:eastAsia="仿宋_GB2312" w:cs="仿宋_GB2312"/>
                <w:spacing w:val="2"/>
                <w:sz w:val="22"/>
                <w:szCs w:val="22"/>
              </w:rPr>
              <w:t>因恶劣天气下</w:t>
            </w:r>
            <w:r>
              <w:rPr>
                <w:rFonts w:hint="eastAsia" w:ascii="仿宋_GB2312" w:hAnsi="仿宋_GB2312" w:eastAsia="仿宋_GB2312" w:cs="仿宋_GB2312"/>
                <w:spacing w:val="2"/>
                <w:sz w:val="22"/>
                <w:szCs w:val="22"/>
                <w:lang w:eastAsia="zh-CN"/>
              </w:rPr>
              <w:t>出现</w:t>
            </w:r>
            <w:r>
              <w:rPr>
                <w:rFonts w:hint="eastAsia" w:ascii="仿宋_GB2312" w:hAnsi="仿宋_GB2312" w:eastAsia="仿宋_GB2312" w:cs="仿宋_GB2312"/>
                <w:spacing w:val="2"/>
                <w:sz w:val="22"/>
                <w:szCs w:val="22"/>
              </w:rPr>
              <w:t>净化塘漫水、植物突发性病虫害、藻类爆发、净化塘停床整修</w:t>
            </w:r>
            <w:r>
              <w:rPr>
                <w:rFonts w:hint="eastAsia" w:ascii="仿宋_GB2312" w:hAnsi="仿宋_GB2312" w:eastAsia="仿宋_GB2312" w:cs="仿宋_GB2312"/>
                <w:spacing w:val="2"/>
                <w:kern w:val="2"/>
                <w:sz w:val="22"/>
                <w:szCs w:val="22"/>
                <w:lang w:val="en-US" w:eastAsia="zh-CN" w:bidi="ar-SA"/>
              </w:rPr>
              <w:t>净化塘漫水等状况。</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416"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leftChars="0" w:right="57" w:rightChars="0"/>
              <w:jc w:val="center"/>
              <w:textAlignment w:val="baseline"/>
              <w:rPr>
                <w:rFonts w:hint="default"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kern w:val="2"/>
                <w:sz w:val="22"/>
                <w:szCs w:val="22"/>
                <w:lang w:val="en-US" w:eastAsia="zh-CN" w:bidi="ar-SA"/>
              </w:rPr>
              <w:t>9-10月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leftChars="0" w:right="108" w:rightChars="0" w:firstLine="448" w:firstLineChars="200"/>
              <w:textAlignment w:val="baseline"/>
              <w:rPr>
                <w:rFonts w:hint="eastAsia"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kern w:val="2"/>
                <w:sz w:val="22"/>
                <w:szCs w:val="22"/>
                <w:lang w:val="en-US" w:eastAsia="zh-CN" w:bidi="ar-SA"/>
              </w:rPr>
              <w:t>开展尾水塘硬件设置专项检查，及时处理</w:t>
            </w:r>
            <w:r>
              <w:rPr>
                <w:rFonts w:hint="eastAsia" w:ascii="仿宋_GB2312" w:hAnsi="仿宋_GB2312" w:eastAsia="仿宋_GB2312" w:cs="仿宋_GB2312"/>
                <w:spacing w:val="2"/>
                <w:sz w:val="22"/>
                <w:szCs w:val="22"/>
              </w:rPr>
              <w:t>池体漏水</w:t>
            </w:r>
            <w:r>
              <w:rPr>
                <w:rFonts w:hint="eastAsia" w:ascii="仿宋_GB2312" w:hAnsi="仿宋_GB2312" w:eastAsia="仿宋_GB2312" w:cs="仿宋_GB2312"/>
                <w:spacing w:val="2"/>
                <w:sz w:val="22"/>
                <w:szCs w:val="22"/>
                <w:lang w:eastAsia="zh-CN"/>
              </w:rPr>
              <w:t>、</w:t>
            </w:r>
            <w:r>
              <w:rPr>
                <w:rFonts w:hint="eastAsia" w:ascii="仿宋_GB2312" w:hAnsi="仿宋_GB2312" w:eastAsia="仿宋_GB2312" w:cs="仿宋_GB2312"/>
                <w:spacing w:val="2"/>
                <w:sz w:val="22"/>
                <w:szCs w:val="22"/>
              </w:rPr>
              <w:t>管道堵塞</w:t>
            </w:r>
            <w:r>
              <w:rPr>
                <w:rFonts w:hint="eastAsia" w:ascii="仿宋_GB2312" w:hAnsi="仿宋_GB2312" w:eastAsia="仿宋_GB2312" w:cs="仿宋_GB2312"/>
                <w:spacing w:val="2"/>
                <w:sz w:val="22"/>
                <w:szCs w:val="22"/>
                <w:lang w:eastAsia="zh-CN"/>
              </w:rPr>
              <w:t>、</w:t>
            </w:r>
            <w:r>
              <w:rPr>
                <w:rFonts w:hint="eastAsia" w:ascii="仿宋_GB2312" w:hAnsi="仿宋_GB2312" w:eastAsia="仿宋_GB2312" w:cs="仿宋_GB2312"/>
                <w:spacing w:val="2"/>
                <w:sz w:val="22"/>
                <w:szCs w:val="22"/>
              </w:rPr>
              <w:t>旋涡气泵和潜水泵不工作</w:t>
            </w:r>
            <w:r>
              <w:rPr>
                <w:rFonts w:hint="eastAsia" w:ascii="仿宋_GB2312" w:hAnsi="仿宋_GB2312" w:eastAsia="仿宋_GB2312" w:cs="仿宋_GB2312"/>
                <w:spacing w:val="2"/>
                <w:sz w:val="22"/>
                <w:szCs w:val="22"/>
                <w:lang w:eastAsia="zh-CN"/>
              </w:rPr>
              <w:t>等情况。对尾水处理不规范的养殖户做好劝诫和整改工作。</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870"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leftChars="0" w:right="57" w:rightChars="0"/>
              <w:jc w:val="center"/>
              <w:textAlignment w:val="baseline"/>
              <w:rPr>
                <w:rFonts w:hint="default"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sz w:val="22"/>
                <w:szCs w:val="22"/>
                <w:lang w:val="en-US" w:eastAsia="zh-CN"/>
              </w:rPr>
              <w:t>11月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leftChars="0" w:right="108" w:rightChars="0" w:firstLine="448" w:firstLineChars="200"/>
              <w:textAlignment w:val="baseline"/>
              <w:rPr>
                <w:rFonts w:hint="eastAsia"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sz w:val="22"/>
                <w:szCs w:val="22"/>
                <w:lang w:eastAsia="zh-CN"/>
              </w:rPr>
              <w:t>配合崇明区水产绿色养殖推广工作检查，对所有合作社的尾水治理运维状况和台账做检查，根据区级水质检测结果做好后续跟进工作，督促运维方做好整改。</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58" w:hRule="atLeast"/>
        </w:trPr>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leftChars="0" w:right="57" w:rightChars="0"/>
              <w:jc w:val="center"/>
              <w:textAlignment w:val="baseline"/>
              <w:rPr>
                <w:rFonts w:hint="default"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kern w:val="2"/>
                <w:sz w:val="22"/>
                <w:szCs w:val="22"/>
                <w:lang w:val="en-US" w:eastAsia="zh-CN" w:bidi="ar-SA"/>
              </w:rPr>
              <w:t>12月</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leftChars="0" w:right="108" w:rightChars="0"/>
              <w:jc w:val="center"/>
              <w:textAlignment w:val="baseline"/>
              <w:rPr>
                <w:rFonts w:hint="eastAsia" w:ascii="仿宋_GB2312" w:hAnsi="仿宋_GB2312" w:eastAsia="仿宋_GB2312" w:cs="仿宋_GB2312"/>
                <w:spacing w:val="2"/>
                <w:kern w:val="2"/>
                <w:sz w:val="22"/>
                <w:szCs w:val="22"/>
                <w:lang w:val="en-US" w:eastAsia="zh-CN" w:bidi="ar-SA"/>
              </w:rPr>
            </w:pPr>
            <w:r>
              <w:rPr>
                <w:rFonts w:hint="eastAsia" w:ascii="仿宋_GB2312" w:hAnsi="仿宋_GB2312" w:eastAsia="仿宋_GB2312" w:cs="仿宋_GB2312"/>
                <w:spacing w:val="2"/>
                <w:kern w:val="2"/>
                <w:sz w:val="22"/>
                <w:szCs w:val="22"/>
                <w:lang w:val="en-US" w:eastAsia="zh-CN" w:bidi="ar-SA"/>
              </w:rPr>
              <w:t>水质检测和年度考核</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bl>
    <w:p>
      <w:pPr>
        <w:rPr>
          <w:rFonts w:ascii="黑体" w:hAnsi="黑体" w:eastAsia="黑体" w:cs="黑体"/>
          <w:spacing w:val="9"/>
          <w:sz w:val="32"/>
          <w:szCs w:val="32"/>
        </w:rPr>
        <w:sectPr>
          <w:footerReference r:id="rId3" w:type="default"/>
          <w:pgSz w:w="11906" w:h="16838"/>
          <w:pgMar w:top="2098" w:right="1474" w:bottom="1984" w:left="1587" w:header="851" w:footer="992" w:gutter="0"/>
          <w:pgNumType w:fmt="numberInDash"/>
          <w:cols w:space="425" w:num="1"/>
          <w:docGrid w:type="lines" w:linePitch="312" w:charSpace="0"/>
        </w:sectPr>
      </w:pPr>
      <w:r>
        <w:rPr>
          <w:rFonts w:hint="default" w:ascii="仿宋_GB2312" w:hAnsi="仿宋_GB2312" w:eastAsia="仿宋_GB2312" w:cs="仿宋_GB2312"/>
          <w:sz w:val="21"/>
          <w:szCs w:val="21"/>
          <w:lang w:val="en-US" w:eastAsia="zh-CN"/>
        </w:rPr>
        <w:br w:type="page"/>
      </w:r>
    </w:p>
    <w:p>
      <w:pPr>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附件3：</w:t>
      </w:r>
    </w:p>
    <w:p>
      <w:pPr>
        <w:keepNext w:val="0"/>
        <w:keepLines w:val="0"/>
        <w:pageBreakBefore w:val="0"/>
        <w:widowControl w:val="0"/>
        <w:kinsoku w:val="0"/>
        <w:wordWrap/>
        <w:overflowPunct/>
        <w:topLinePunct w:val="0"/>
        <w:autoSpaceDE w:val="0"/>
        <w:autoSpaceDN w:val="0"/>
        <w:bidi w:val="0"/>
        <w:adjustRightInd w:val="0"/>
        <w:snapToGrid w:val="0"/>
        <w:spacing w:line="560" w:lineRule="exact"/>
        <w:ind w:left="0" w:leftChars="0" w:right="0" w:rightChars="0" w:firstLine="0" w:firstLineChars="0"/>
        <w:jc w:val="center"/>
        <w:textAlignment w:val="baseline"/>
        <w:outlineLvl w:val="9"/>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中兴镇水产养殖尾水水质检测方案</w:t>
      </w:r>
    </w:p>
    <w:p>
      <w:pPr>
        <w:pStyle w:val="2"/>
        <w:keepNext w:val="0"/>
        <w:keepLines w:val="0"/>
        <w:pageBreakBefore w:val="0"/>
        <w:widowControl w:val="0"/>
        <w:kinsoku/>
        <w:wordWrap/>
        <w:overflowPunct/>
        <w:topLinePunct w:val="0"/>
        <w:autoSpaceDE/>
        <w:autoSpaceDN/>
        <w:bidi w:val="0"/>
        <w:adjustRightInd/>
        <w:snapToGrid w:val="0"/>
        <w:spacing w:line="260" w:lineRule="exact"/>
        <w:textAlignment w:val="auto"/>
        <w:rPr>
          <w:rFonts w:hint="eastAsia"/>
          <w:lang w:val="en-US" w:eastAsia="zh-CN"/>
        </w:rPr>
      </w:pPr>
    </w:p>
    <w:p>
      <w:pPr>
        <w:keepNext w:val="0"/>
        <w:keepLines w:val="0"/>
        <w:pageBreakBefore w:val="0"/>
        <w:widowControl w:val="0"/>
        <w:numPr>
          <w:ilvl w:val="0"/>
          <w:numId w:val="2"/>
        </w:numPr>
        <w:kinsoku/>
        <w:wordWrap/>
        <w:overflowPunct/>
        <w:topLinePunct w:val="0"/>
        <w:autoSpaceDE/>
        <w:autoSpaceDN/>
        <w:bidi w:val="0"/>
        <w:adjustRightInd/>
        <w:snapToGrid/>
        <w:spacing w:line="560" w:lineRule="exact"/>
        <w:ind w:left="0" w:leftChars="0" w:right="0" w:rightChars="0" w:firstLine="0" w:firstLineChars="0"/>
        <w:jc w:val="both"/>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检测目的</w:t>
      </w:r>
    </w:p>
    <w:p>
      <w:pPr>
        <w:pStyle w:val="2"/>
        <w:keepNext w:val="0"/>
        <w:keepLines w:val="0"/>
        <w:pageBreakBefore w:val="0"/>
        <w:widowControl w:val="0"/>
        <w:kinsoku/>
        <w:wordWrap/>
        <w:overflowPunct/>
        <w:topLinePunct w:val="0"/>
        <w:autoSpaceDE/>
        <w:autoSpaceDN/>
        <w:bidi w:val="0"/>
        <w:adjustRightInd/>
        <w:spacing w:line="520" w:lineRule="exact"/>
        <w:ind w:firstLine="640" w:firstLineChars="200"/>
        <w:textAlignment w:val="auto"/>
        <w:rPr>
          <w:rFonts w:hint="default"/>
          <w:sz w:val="32"/>
          <w:szCs w:val="32"/>
          <w:lang w:val="en-US" w:eastAsia="zh-CN"/>
        </w:rPr>
      </w:pPr>
      <w:r>
        <w:rPr>
          <w:rFonts w:hint="eastAsia" w:ascii="仿宋_GB2312" w:hAnsi="仿宋_GB2312" w:eastAsia="仿宋_GB2312" w:cs="仿宋_GB2312"/>
          <w:sz w:val="32"/>
          <w:szCs w:val="32"/>
          <w:lang w:val="en-US" w:eastAsia="zh-CN"/>
        </w:rPr>
        <w:t>为巩固我镇水产养殖尾水治理工程建设成果，结合我镇水产养殖尾水治理现状，根据《中兴镇水产养殖尾水长效管理方案暨考核办法》对中兴镇辖区内的水产养殖尾水处理点开展排水口水质检测工作，确保养殖排放水符合《淡水池塘养殖水排放要求》（SC/T9101-2007）一级标准。</w:t>
      </w:r>
    </w:p>
    <w:p>
      <w:pPr>
        <w:keepNext w:val="0"/>
        <w:keepLines w:val="0"/>
        <w:pageBreakBefore w:val="0"/>
        <w:widowControl w:val="0"/>
        <w:numPr>
          <w:ilvl w:val="0"/>
          <w:numId w:val="2"/>
        </w:numPr>
        <w:kinsoku/>
        <w:wordWrap/>
        <w:overflowPunct/>
        <w:topLinePunct w:val="0"/>
        <w:autoSpaceDE/>
        <w:autoSpaceDN/>
        <w:bidi w:val="0"/>
        <w:adjustRightInd/>
        <w:spacing w:line="520" w:lineRule="exact"/>
        <w:textAlignment w:val="auto"/>
        <w:rPr>
          <w:rFonts w:hint="eastAsia" w:ascii="黑体" w:hAnsi="黑体" w:eastAsia="黑体" w:cs="黑体"/>
          <w:sz w:val="32"/>
          <w:szCs w:val="32"/>
          <w:lang w:eastAsia="zh-CN"/>
        </w:rPr>
      </w:pPr>
      <w:r>
        <w:rPr>
          <w:rFonts w:hint="eastAsia" w:ascii="黑体" w:hAnsi="黑体" w:eastAsia="黑体" w:cs="黑体"/>
          <w:sz w:val="32"/>
          <w:szCs w:val="32"/>
          <w:lang w:val="en-US" w:eastAsia="zh-CN"/>
        </w:rPr>
        <w:t>要求和方法</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default"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水质检测第三方应按照《淡水池塘养殖水排放要求》（SC/T9101-2007）的水质检测方法，对中兴镇辖区内47个水产养殖排水口开展水质检测，将检测结果以报告的形式汇报镇农业农村办。检测频率初定半年度一次。</w:t>
      </w:r>
    </w:p>
    <w:p>
      <w:pPr>
        <w:pStyle w:val="2"/>
        <w:numPr>
          <w:ilvl w:val="0"/>
          <w:numId w:val="0"/>
        </w:numPr>
        <w:ind w:leftChars="0"/>
        <w:rPr>
          <w:rFonts w:hint="default" w:ascii="仿宋_GB2312" w:hAnsi="仿宋_GB2312" w:eastAsia="仿宋_GB2312" w:cs="仿宋_GB2312"/>
          <w:kern w:val="2"/>
          <w:sz w:val="28"/>
          <w:szCs w:val="28"/>
          <w:lang w:val="en-US" w:eastAsia="zh-CN" w:bidi="ar-SA"/>
        </w:rPr>
      </w:pPr>
      <w:r>
        <w:drawing>
          <wp:anchor distT="0" distB="0" distL="114300" distR="114300" simplePos="0" relativeHeight="251658240" behindDoc="0" locked="0" layoutInCell="1" allowOverlap="1">
            <wp:simplePos x="0" y="0"/>
            <wp:positionH relativeFrom="column">
              <wp:posOffset>42545</wp:posOffset>
            </wp:positionH>
            <wp:positionV relativeFrom="paragraph">
              <wp:posOffset>5080</wp:posOffset>
            </wp:positionV>
            <wp:extent cx="5273040" cy="1788160"/>
            <wp:effectExtent l="0" t="0" r="3810" b="254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
                    <a:stretch>
                      <a:fillRect/>
                    </a:stretch>
                  </pic:blipFill>
                  <pic:spPr>
                    <a:xfrm>
                      <a:off x="0" y="0"/>
                      <a:ext cx="5273040" cy="1788160"/>
                    </a:xfrm>
                    <a:prstGeom prst="rect">
                      <a:avLst/>
                    </a:prstGeom>
                    <a:noFill/>
                    <a:ln>
                      <a:noFill/>
                    </a:ln>
                  </pic:spPr>
                </pic:pic>
              </a:graphicData>
            </a:graphic>
          </wp:anchor>
        </w:drawing>
      </w:r>
    </w:p>
    <w:p>
      <w:pPr>
        <w:rPr>
          <w:rFonts w:hint="default" w:ascii="仿宋_GB2312" w:hAnsi="仿宋_GB2312" w:eastAsia="仿宋_GB2312" w:cs="仿宋_GB2312"/>
          <w:kern w:val="2"/>
          <w:sz w:val="28"/>
          <w:szCs w:val="28"/>
          <w:lang w:val="en-US" w:eastAsia="zh-CN" w:bidi="ar-SA"/>
        </w:rPr>
      </w:pPr>
    </w:p>
    <w:p>
      <w:pPr>
        <w:pStyle w:val="2"/>
        <w:rPr>
          <w:rFonts w:hint="default" w:ascii="仿宋_GB2312" w:hAnsi="仿宋_GB2312" w:eastAsia="仿宋_GB2312" w:cs="仿宋_GB2312"/>
          <w:kern w:val="2"/>
          <w:sz w:val="28"/>
          <w:szCs w:val="28"/>
          <w:lang w:val="en-US" w:eastAsia="zh-CN" w:bidi="ar-SA"/>
        </w:rPr>
      </w:pPr>
    </w:p>
    <w:p>
      <w:pPr>
        <w:rPr>
          <w:rFonts w:hint="default" w:ascii="仿宋_GB2312" w:hAnsi="仿宋_GB2312" w:eastAsia="仿宋_GB2312" w:cs="仿宋_GB2312"/>
          <w:kern w:val="2"/>
          <w:sz w:val="28"/>
          <w:szCs w:val="28"/>
          <w:lang w:val="en-US" w:eastAsia="zh-CN" w:bidi="ar-SA"/>
        </w:rPr>
      </w:pPr>
    </w:p>
    <w:p>
      <w:pPr>
        <w:pStyle w:val="2"/>
        <w:rPr>
          <w:rFonts w:hint="default" w:ascii="仿宋_GB2312" w:hAnsi="仿宋_GB2312" w:eastAsia="仿宋_GB2312" w:cs="仿宋_GB2312"/>
          <w:kern w:val="2"/>
          <w:sz w:val="28"/>
          <w:szCs w:val="28"/>
          <w:lang w:val="en-US" w:eastAsia="zh-CN" w:bidi="ar-SA"/>
        </w:rPr>
      </w:pPr>
    </w:p>
    <w:p>
      <w:pPr>
        <w:rPr>
          <w:rFonts w:hint="default" w:ascii="仿宋_GB2312" w:hAnsi="仿宋_GB2312" w:eastAsia="仿宋_GB2312" w:cs="仿宋_GB2312"/>
          <w:kern w:val="2"/>
          <w:sz w:val="28"/>
          <w:szCs w:val="28"/>
          <w:lang w:val="en-US" w:eastAsia="zh-CN" w:bidi="ar-SA"/>
        </w:rPr>
      </w:pPr>
      <w:r>
        <w:drawing>
          <wp:anchor distT="0" distB="0" distL="114300" distR="114300" simplePos="0" relativeHeight="251659264" behindDoc="0" locked="0" layoutInCell="1" allowOverlap="1">
            <wp:simplePos x="0" y="0"/>
            <wp:positionH relativeFrom="column">
              <wp:posOffset>6350</wp:posOffset>
            </wp:positionH>
            <wp:positionV relativeFrom="paragraph">
              <wp:posOffset>254635</wp:posOffset>
            </wp:positionV>
            <wp:extent cx="5271770" cy="2823210"/>
            <wp:effectExtent l="0" t="0" r="5080" b="15240"/>
            <wp:wrapNone/>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6"/>
                    <a:stretch>
                      <a:fillRect/>
                    </a:stretch>
                  </pic:blipFill>
                  <pic:spPr>
                    <a:xfrm>
                      <a:off x="0" y="0"/>
                      <a:ext cx="5271770" cy="2823210"/>
                    </a:xfrm>
                    <a:prstGeom prst="rect">
                      <a:avLst/>
                    </a:prstGeom>
                    <a:noFill/>
                    <a:ln>
                      <a:noFill/>
                    </a:ln>
                  </pic:spPr>
                </pic:pic>
              </a:graphicData>
            </a:graphic>
          </wp:anchor>
        </w:drawing>
      </w:r>
    </w:p>
    <w:p>
      <w:pPr>
        <w:pStyle w:val="2"/>
        <w:rPr>
          <w:rFonts w:hint="default" w:ascii="仿宋_GB2312" w:hAnsi="仿宋_GB2312" w:eastAsia="仿宋_GB2312" w:cs="仿宋_GB2312"/>
          <w:kern w:val="2"/>
          <w:sz w:val="28"/>
          <w:szCs w:val="28"/>
          <w:lang w:val="en-US" w:eastAsia="zh-CN" w:bidi="ar-SA"/>
        </w:rPr>
      </w:pPr>
    </w:p>
    <w:p>
      <w:pPr>
        <w:rPr>
          <w:rFonts w:hint="default" w:ascii="仿宋_GB2312" w:hAnsi="仿宋_GB2312" w:eastAsia="仿宋_GB2312" w:cs="仿宋_GB2312"/>
          <w:kern w:val="2"/>
          <w:sz w:val="28"/>
          <w:szCs w:val="28"/>
          <w:lang w:val="en-US" w:eastAsia="zh-CN" w:bidi="ar-SA"/>
        </w:rPr>
      </w:pPr>
    </w:p>
    <w:p>
      <w:pPr>
        <w:pStyle w:val="2"/>
        <w:rPr>
          <w:rFonts w:hint="default" w:ascii="仿宋_GB2312" w:hAnsi="仿宋_GB2312" w:eastAsia="仿宋_GB2312" w:cs="仿宋_GB2312"/>
          <w:kern w:val="2"/>
          <w:sz w:val="28"/>
          <w:szCs w:val="28"/>
          <w:lang w:val="en-US" w:eastAsia="zh-CN" w:bidi="ar-SA"/>
        </w:rPr>
      </w:pPr>
    </w:p>
    <w:p>
      <w:pPr>
        <w:rPr>
          <w:rFonts w:hint="default" w:ascii="仿宋_GB2312" w:hAnsi="仿宋_GB2312" w:eastAsia="仿宋_GB2312" w:cs="仿宋_GB2312"/>
          <w:kern w:val="2"/>
          <w:sz w:val="28"/>
          <w:szCs w:val="28"/>
          <w:lang w:val="en-US" w:eastAsia="zh-CN" w:bidi="ar-SA"/>
        </w:rPr>
      </w:pPr>
    </w:p>
    <w:p>
      <w:pPr>
        <w:rPr>
          <w:rFonts w:hint="default" w:ascii="仿宋_GB2312" w:hAnsi="仿宋_GB2312" w:eastAsia="仿宋_GB2312" w:cs="仿宋_GB2312"/>
          <w:kern w:val="2"/>
          <w:sz w:val="28"/>
          <w:szCs w:val="28"/>
          <w:lang w:val="en-US" w:eastAsia="zh-CN" w:bidi="ar-SA"/>
        </w:rPr>
      </w:pPr>
    </w:p>
    <w:p>
      <w:pPr>
        <w:pStyle w:val="2"/>
        <w:rPr>
          <w:rFonts w:hint="eastAsia"/>
          <w:lang w:val="en-US" w:eastAsia="zh-CN"/>
        </w:rPr>
        <w:sectPr>
          <w:pgSz w:w="11906" w:h="16838"/>
          <w:pgMar w:top="2098" w:right="1474" w:bottom="1984" w:left="1587" w:header="851" w:footer="992" w:gutter="0"/>
          <w:pgNumType w:fmt="numberInDash"/>
          <w:cols w:space="425" w:num="1"/>
          <w:docGrid w:type="lines" w:linePitch="312" w:charSpace="0"/>
        </w:sectPr>
      </w:pPr>
    </w:p>
    <w:p>
      <w:pPr>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附件4：</w:t>
      </w:r>
    </w:p>
    <w:p>
      <w:pPr>
        <w:kinsoku w:val="0"/>
        <w:autoSpaceDE w:val="0"/>
        <w:autoSpaceDN w:val="0"/>
        <w:adjustRightInd w:val="0"/>
        <w:snapToGrid w:val="0"/>
        <w:spacing w:line="560" w:lineRule="exact"/>
        <w:jc w:val="center"/>
        <w:textAlignment w:val="baseline"/>
        <w:rPr>
          <w:rFonts w:ascii="方正小标宋简体" w:hAnsi="方正小标宋简体" w:eastAsia="方正小标宋简体" w:cs="方正小标宋简体"/>
          <w:w w:val="90"/>
          <w:sz w:val="36"/>
          <w:szCs w:val="36"/>
        </w:rPr>
      </w:pPr>
      <w:r>
        <w:rPr>
          <w:rFonts w:hint="eastAsia" w:ascii="方正小标宋简体" w:hAnsi="方正小标宋简体" w:eastAsia="方正小标宋简体" w:cs="方正小标宋简体"/>
          <w:w w:val="90"/>
          <w:sz w:val="36"/>
          <w:szCs w:val="36"/>
          <w:lang w:eastAsia="zh-CN"/>
        </w:rPr>
        <w:t>中兴镇</w:t>
      </w:r>
      <w:r>
        <w:rPr>
          <w:rFonts w:hint="eastAsia" w:ascii="方正小标宋简体" w:hAnsi="方正小标宋简体" w:eastAsia="方正小标宋简体" w:cs="方正小标宋简体"/>
          <w:w w:val="90"/>
          <w:sz w:val="36"/>
          <w:szCs w:val="36"/>
        </w:rPr>
        <w:t>养殖尾水处理设施运行养护日常</w:t>
      </w:r>
      <w:r>
        <w:rPr>
          <w:rFonts w:hint="eastAsia" w:ascii="方正小标宋简体" w:hAnsi="方正小标宋简体" w:eastAsia="方正小标宋简体" w:cs="方正小标宋简体"/>
          <w:w w:val="90"/>
          <w:sz w:val="36"/>
          <w:szCs w:val="36"/>
          <w:lang w:eastAsia="zh-CN"/>
        </w:rPr>
        <w:t>检查</w:t>
      </w:r>
      <w:r>
        <w:rPr>
          <w:rFonts w:hint="eastAsia" w:ascii="方正小标宋简体" w:hAnsi="方正小标宋简体" w:eastAsia="方正小标宋简体" w:cs="方正小标宋简体"/>
          <w:w w:val="90"/>
          <w:sz w:val="36"/>
          <w:szCs w:val="36"/>
        </w:rPr>
        <w:t>表</w:t>
      </w:r>
    </w:p>
    <w:p>
      <w:pPr>
        <w:pStyle w:val="2"/>
        <w:kinsoku w:val="0"/>
        <w:autoSpaceDE w:val="0"/>
        <w:autoSpaceDN w:val="0"/>
        <w:adjustRightInd w:val="0"/>
        <w:spacing w:line="560" w:lineRule="exact"/>
        <w:textAlignment w:val="baseline"/>
      </w:pPr>
      <w:r>
        <w:rPr>
          <w:rFonts w:hint="eastAsia" w:ascii="仿宋_GB2312" w:hAnsi="仿宋_GB2312" w:eastAsia="仿宋_GB2312" w:cs="仿宋_GB2312"/>
          <w:spacing w:val="2"/>
          <w:sz w:val="22"/>
          <w:szCs w:val="22"/>
        </w:rPr>
        <w:t>运维单位：</w:t>
      </w:r>
    </w:p>
    <w:tbl>
      <w:tblPr>
        <w:tblStyle w:val="10"/>
        <w:tblW w:w="10161" w:type="dxa"/>
        <w:tblInd w:w="-56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7"/>
        <w:gridCol w:w="1513"/>
        <w:gridCol w:w="6661"/>
        <w:gridCol w:w="10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80" w:hRule="atLeast"/>
        </w:trPr>
        <w:tc>
          <w:tcPr>
            <w:tcW w:w="897"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考评</w:t>
            </w:r>
          </w:p>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内容</w:t>
            </w: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考评</w:t>
            </w:r>
          </w:p>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指标</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考核说明</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95" w:hRule="atLeast"/>
        </w:trPr>
        <w:tc>
          <w:tcPr>
            <w:tcW w:w="897" w:type="dxa"/>
            <w:vMerge w:val="restart"/>
            <w:tcBorders>
              <w:top w:val="single" w:color="000000" w:sz="2" w:space="0"/>
              <w:bottom w:val="nil"/>
            </w:tcBorders>
            <w:vAlign w:val="center"/>
          </w:tcPr>
          <w:p>
            <w:pPr>
              <w:kinsoku w:val="0"/>
              <w:autoSpaceDE w:val="0"/>
              <w:autoSpaceDN w:val="0"/>
              <w:adjustRightInd w:val="0"/>
              <w:snapToGrid w:val="0"/>
              <w:spacing w:line="0" w:lineRule="atLeast"/>
              <w:ind w:left="108" w:right="108"/>
              <w:jc w:val="center"/>
              <w:textAlignment w:val="baseline"/>
            </w:pPr>
            <w:r>
              <w:rPr>
                <w:rFonts w:hint="eastAsia" w:ascii="仿宋_GB2312" w:hAnsi="仿宋_GB2312" w:eastAsia="仿宋_GB2312" w:cs="仿宋_GB2312"/>
                <w:spacing w:val="2"/>
                <w:sz w:val="22"/>
                <w:szCs w:val="22"/>
              </w:rPr>
              <w:t>现场</w:t>
            </w:r>
          </w:p>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情况</w:t>
            </w: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处理设施</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（20分）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未及时解决池体漏水、未修复裂缝、生物栅损坏、旋涡气泵和潜水泵不工作等任何影响设施正常工作的情况，1处扣5分；扣完为止。</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38" w:hRule="atLeast"/>
        </w:trPr>
        <w:tc>
          <w:tcPr>
            <w:tcW w:w="897" w:type="dxa"/>
            <w:vMerge w:val="continue"/>
            <w:tcBorders>
              <w:top w:val="nil"/>
              <w:bottom w:val="nil"/>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hint="eastAsia"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日常维护</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（20分）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发现管道堵塞、塘水溢出、水塘内杂草或枯萎植物过多、净化塘内悬浮物过多等影响养殖尾水净化的情况，1处扣2分；扣完为止。</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01" w:hRule="atLeast"/>
        </w:trPr>
        <w:tc>
          <w:tcPr>
            <w:tcW w:w="897" w:type="dxa"/>
            <w:vMerge w:val="continue"/>
            <w:tcBorders>
              <w:top w:val="nil"/>
              <w:bottom w:val="nil"/>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绿色养殖</w:t>
            </w:r>
            <w:r>
              <w:rPr>
                <w:rFonts w:hint="eastAsia" w:ascii="仿宋_GB2312" w:hAnsi="仿宋_GB2312" w:eastAsia="仿宋_GB2312" w:cs="仿宋_GB2312"/>
                <w:spacing w:val="2"/>
                <w:sz w:val="22"/>
                <w:szCs w:val="22"/>
              </w:rPr>
              <w:br w:type="textWrapping"/>
            </w:r>
            <w:r>
              <w:rPr>
                <w:rFonts w:hint="eastAsia" w:ascii="仿宋_GB2312" w:hAnsi="仿宋_GB2312" w:eastAsia="仿宋_GB2312" w:cs="仿宋_GB2312"/>
                <w:spacing w:val="2"/>
                <w:sz w:val="22"/>
                <w:szCs w:val="22"/>
              </w:rPr>
              <w:t>（10分）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养殖场（户）未按照绿色生产规程进行水产养殖，1处扣5分。</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254" w:hRule="atLeast"/>
        </w:trPr>
        <w:tc>
          <w:tcPr>
            <w:tcW w:w="897" w:type="dxa"/>
            <w:vMerge w:val="continue"/>
            <w:tcBorders>
              <w:top w:val="nil"/>
              <w:bottom w:val="nil"/>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应急处置</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（10分）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无应急处置预案扣10分；因恶劣天气下净化塘漫水、植物突发性病虫害、藻类爆发、净化塘停床整修等情况引发较为严重后果的一次扣5分。</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55" w:hRule="atLeast"/>
        </w:trPr>
        <w:tc>
          <w:tcPr>
            <w:tcW w:w="897" w:type="dxa"/>
            <w:vMerge w:val="continue"/>
            <w:tcBorders>
              <w:top w:val="nil"/>
              <w:bottom w:val="nil"/>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站点绿化</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区域环境</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（5分）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站点区域内违法施工、搭建、占压、垃圾、种植，植物少缺损，站点有乱涂、小广告，等环境脏乱差等情况，1处扣1分；扣完为止。</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046" w:hRule="atLeast"/>
        </w:trPr>
        <w:tc>
          <w:tcPr>
            <w:tcW w:w="897" w:type="dxa"/>
            <w:vMerge w:val="continue"/>
            <w:tcBorders>
              <w:top w:val="nil"/>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hint="eastAsia"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尾水排放</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（15分）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清塘换水未按规定操作扣5分；发现在设备损坏或进行抢修维护时排放尾水扣5分；尾水排放水质不达标扣15分；扣完为止。</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91" w:hRule="atLeast"/>
        </w:trPr>
        <w:tc>
          <w:tcPr>
            <w:tcW w:w="897" w:type="dxa"/>
            <w:vMerge w:val="restart"/>
            <w:tcBorders>
              <w:top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台账</w:t>
            </w:r>
          </w:p>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记录</w:t>
            </w: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运维台账</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w:t>
            </w:r>
            <w:r>
              <w:rPr>
                <w:rFonts w:hint="eastAsia" w:ascii="仿宋_GB2312" w:hAnsi="仿宋_GB2312" w:eastAsia="仿宋_GB2312" w:cs="仿宋_GB2312"/>
                <w:spacing w:val="2"/>
                <w:sz w:val="22"/>
                <w:szCs w:val="22"/>
                <w:lang w:val="en-US" w:eastAsia="zh-CN"/>
              </w:rPr>
              <w:t>10</w:t>
            </w:r>
            <w:r>
              <w:rPr>
                <w:rFonts w:hint="eastAsia" w:ascii="仿宋_GB2312" w:hAnsi="仿宋_GB2312" w:eastAsia="仿宋_GB2312" w:cs="仿宋_GB2312"/>
                <w:spacing w:val="2"/>
                <w:sz w:val="22"/>
                <w:szCs w:val="22"/>
              </w:rPr>
              <w:t>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无运维台账扣5分；台账记录不规范扣2分。</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58" w:hRule="atLeast"/>
        </w:trPr>
        <w:tc>
          <w:tcPr>
            <w:tcW w:w="897" w:type="dxa"/>
            <w:vMerge w:val="continue"/>
            <w:tcBorders>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水质检测台账</w:t>
            </w:r>
          </w:p>
          <w:p>
            <w:pPr>
              <w:kinsoku w:val="0"/>
              <w:autoSpaceDE w:val="0"/>
              <w:autoSpaceDN w:val="0"/>
              <w:adjustRightInd w:val="0"/>
              <w:snapToGrid w:val="0"/>
              <w:spacing w:line="0" w:lineRule="atLeast"/>
              <w:ind w:left="57" w:right="57"/>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（10分）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无</w:t>
            </w:r>
            <w:r>
              <w:rPr>
                <w:rFonts w:hint="eastAsia" w:ascii="仿宋_GB2312" w:hAnsi="仿宋_GB2312" w:eastAsia="仿宋_GB2312" w:cs="仿宋_GB2312"/>
                <w:spacing w:val="2"/>
                <w:sz w:val="22"/>
                <w:szCs w:val="22"/>
                <w:lang w:eastAsia="zh-CN"/>
              </w:rPr>
              <w:t>水质检测</w:t>
            </w:r>
            <w:r>
              <w:rPr>
                <w:rFonts w:hint="eastAsia" w:ascii="仿宋_GB2312" w:hAnsi="仿宋_GB2312" w:eastAsia="仿宋_GB2312" w:cs="仿宋_GB2312"/>
                <w:spacing w:val="2"/>
                <w:sz w:val="22"/>
                <w:szCs w:val="22"/>
              </w:rPr>
              <w:t>台账扣10分；台账记录不规范扣5分。</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865" w:hRule="atLeast"/>
        </w:trPr>
        <w:tc>
          <w:tcPr>
            <w:tcW w:w="897"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b/>
                <w:bCs/>
                <w:spacing w:val="2"/>
                <w:sz w:val="22"/>
                <w:szCs w:val="22"/>
              </w:rPr>
            </w:pPr>
            <w:r>
              <w:rPr>
                <w:rFonts w:hint="eastAsia" w:ascii="仿宋_GB2312" w:hAnsi="仿宋_GB2312" w:eastAsia="仿宋_GB2312" w:cs="仿宋_GB2312"/>
                <w:b/>
                <w:bCs/>
                <w:spacing w:val="2"/>
                <w:sz w:val="22"/>
                <w:szCs w:val="22"/>
              </w:rPr>
              <w:t>合计</w:t>
            </w:r>
          </w:p>
        </w:tc>
        <w:tc>
          <w:tcPr>
            <w:tcW w:w="8174" w:type="dxa"/>
            <w:gridSpan w:val="2"/>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b/>
                <w:bCs/>
                <w:spacing w:val="2"/>
                <w:sz w:val="22"/>
                <w:szCs w:val="22"/>
              </w:rPr>
              <w:t>总分（100分）</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6" w:hRule="atLeast"/>
        </w:trPr>
        <w:tc>
          <w:tcPr>
            <w:tcW w:w="897"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加分项</w:t>
            </w:r>
          </w:p>
        </w:tc>
        <w:tc>
          <w:tcPr>
            <w:tcW w:w="1513"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jc w:val="center"/>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（5分）</w:t>
            </w:r>
          </w:p>
        </w:tc>
        <w:tc>
          <w:tcPr>
            <w:tcW w:w="6661"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left="108" w:right="108"/>
              <w:textAlignment w:val="baseline"/>
              <w:rPr>
                <w:rFonts w:ascii="仿宋_GB2312" w:hAnsi="仿宋_GB2312" w:eastAsia="仿宋_GB2312" w:cs="仿宋_GB2312"/>
                <w:spacing w:val="2"/>
                <w:sz w:val="22"/>
                <w:szCs w:val="22"/>
              </w:rPr>
            </w:pPr>
            <w:r>
              <w:rPr>
                <w:rFonts w:hint="eastAsia" w:ascii="仿宋_GB2312" w:hAnsi="仿宋_GB2312" w:eastAsia="仿宋_GB2312" w:cs="仿宋_GB2312"/>
                <w:spacing w:val="2"/>
                <w:sz w:val="22"/>
                <w:szCs w:val="22"/>
              </w:rPr>
              <w:t>工作创新，工作亮点，形成固化经验推广的加2分；水质达标率超过98%，设施完好的加2分。累计加分不超过5分。</w:t>
            </w:r>
          </w:p>
        </w:tc>
        <w:tc>
          <w:tcPr>
            <w:tcW w:w="1090" w:type="dxa"/>
            <w:tcBorders>
              <w:top w:val="single" w:color="000000" w:sz="2" w:space="0"/>
              <w:bottom w:val="single" w:color="000000" w:sz="2" w:space="0"/>
            </w:tcBorders>
            <w:vAlign w:val="center"/>
          </w:tcPr>
          <w:p>
            <w:pPr>
              <w:kinsoku w:val="0"/>
              <w:autoSpaceDE w:val="0"/>
              <w:autoSpaceDN w:val="0"/>
              <w:adjustRightInd w:val="0"/>
              <w:snapToGrid w:val="0"/>
              <w:spacing w:line="0" w:lineRule="atLeast"/>
              <w:ind w:right="108"/>
              <w:jc w:val="center"/>
              <w:textAlignment w:val="baseline"/>
              <w:rPr>
                <w:rFonts w:ascii="仿宋_GB2312" w:hAnsi="仿宋_GB2312" w:eastAsia="仿宋_GB2312" w:cs="仿宋_GB2312"/>
                <w:spacing w:val="2"/>
                <w:sz w:val="22"/>
                <w:szCs w:val="22"/>
              </w:rPr>
            </w:pPr>
          </w:p>
        </w:tc>
      </w:tr>
    </w:tbl>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0" w:afterAutospacing="0" w:line="560" w:lineRule="exact"/>
        <w:ind w:right="0"/>
        <w:textAlignment w:val="auto"/>
        <w:rPr>
          <w:lang w:val="en-US" w:eastAsia="zh-CN"/>
        </w:rPr>
      </w:pPr>
      <w:r>
        <w:rPr>
          <w:rFonts w:hint="eastAsia" w:ascii="仿宋_GB2312" w:hAnsi="仿宋_GB2312" w:eastAsia="仿宋_GB2312" w:cs="仿宋_GB2312"/>
          <w:spacing w:val="2"/>
          <w:sz w:val="22"/>
          <w:szCs w:val="22"/>
          <w:lang w:eastAsia="zh-CN"/>
        </w:rPr>
        <w:t>检查</w:t>
      </w:r>
      <w:r>
        <w:rPr>
          <w:rFonts w:hint="eastAsia" w:ascii="仿宋_GB2312" w:hAnsi="仿宋_GB2312" w:eastAsia="仿宋_GB2312" w:cs="仿宋_GB2312"/>
          <w:spacing w:val="2"/>
          <w:sz w:val="22"/>
          <w:szCs w:val="22"/>
          <w:lang w:val="en-US" w:eastAsia="zh-CN"/>
        </w:rPr>
        <w:t>组</w:t>
      </w:r>
      <w:r>
        <w:rPr>
          <w:rFonts w:hint="eastAsia" w:ascii="仿宋_GB2312" w:hAnsi="仿宋_GB2312" w:eastAsia="仿宋_GB2312" w:cs="仿宋_GB2312"/>
          <w:spacing w:val="2"/>
          <w:sz w:val="22"/>
          <w:szCs w:val="22"/>
          <w:lang w:eastAsia="zh-CN"/>
        </w:rPr>
        <w:t>成员</w:t>
      </w:r>
      <w:r>
        <w:rPr>
          <w:rFonts w:hint="eastAsia" w:ascii="仿宋_GB2312" w:hAnsi="仿宋_GB2312" w:eastAsia="仿宋_GB2312" w:cs="仿宋_GB2312"/>
          <w:spacing w:val="2"/>
          <w:sz w:val="22"/>
          <w:szCs w:val="22"/>
        </w:rPr>
        <w:t xml:space="preserve">：                                             </w:t>
      </w:r>
      <w:r>
        <w:rPr>
          <w:rFonts w:hint="eastAsia" w:ascii="仿宋_GB2312" w:hAnsi="仿宋_GB2312" w:eastAsia="仿宋_GB2312" w:cs="仿宋_GB2312"/>
          <w:spacing w:val="2"/>
          <w:sz w:val="22"/>
          <w:szCs w:val="22"/>
          <w:lang w:eastAsia="zh-CN"/>
        </w:rPr>
        <w:t>检查</w:t>
      </w:r>
      <w:r>
        <w:rPr>
          <w:rFonts w:hint="eastAsia" w:ascii="仿宋_GB2312" w:hAnsi="仿宋_GB2312" w:eastAsia="仿宋_GB2312" w:cs="仿宋_GB2312"/>
          <w:spacing w:val="2"/>
          <w:sz w:val="22"/>
          <w:szCs w:val="22"/>
        </w:rPr>
        <w:t xml:space="preserve">日期：            </w:t>
      </w:r>
      <w:r>
        <w:rPr>
          <w:rFonts w:hint="eastAsia"/>
        </w:rPr>
        <w:t xml:space="preserve">  </w:t>
      </w:r>
    </w:p>
    <w:p>
      <w:pPr>
        <w:rPr>
          <w:rFonts w:hint="default" w:ascii="仿宋_GB2312" w:hAnsi="仿宋_GB2312" w:eastAsia="仿宋_GB2312" w:cs="仿宋_GB2312"/>
          <w:sz w:val="21"/>
          <w:szCs w:val="21"/>
          <w:lang w:val="en-US" w:eastAsia="zh-CN"/>
        </w:rPr>
      </w:pPr>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 w:name="Arial Unicode MS">
    <w:altName w:val="宋体"/>
    <w:panose1 w:val="020B0604020202020204"/>
    <w:charset w:val="86"/>
    <w:family w:val="auto"/>
    <w:pitch w:val="default"/>
    <w:sig w:usb0="00000000" w:usb1="00000000" w:usb2="0000003F" w:usb3="00000000" w:csb0="603F01FF" w:csb1="FFFF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仿宋_GBK">
    <w:panose1 w:val="02000000000000000000"/>
    <w:charset w:val="86"/>
    <w:family w:val="auto"/>
    <w:pitch w:val="default"/>
    <w:sig w:usb0="00000000" w:usb1="00000000" w:usb2="00000000" w:usb3="00000000" w:csb0="00000000" w:csb1="00000000"/>
  </w:font>
  <w:font w:name="楷体_GB2312">
    <w:panose1 w:val="02010609030101010101"/>
    <w:charset w:val="86"/>
    <w:family w:val="auto"/>
    <w:pitch w:val="default"/>
    <w:sig w:usb0="00000001" w:usb1="080E0000" w:usb2="00000000" w:usb3="00000000" w:csb0="00040000" w:csb1="00000000"/>
  </w:font>
  <w:font w:name="方正楷体_GBK">
    <w:panose1 w:val="02000000000000000000"/>
    <w:charset w:val="86"/>
    <w:family w:val="auto"/>
    <w:pitch w:val="default"/>
    <w:sig w:usb0="00000000" w:usb1="00000000" w:usb2="00000000" w:usb3="00000000" w:csb0="00000000" w:csb1="00000000"/>
  </w:font>
  <w:font w:name="方正黑体_GBK">
    <w:altName w:val="微软雅黑"/>
    <w:panose1 w:val="00000000000000000000"/>
    <w:charset w:val="00"/>
    <w:family w:val="auto"/>
    <w:pitch w:val="default"/>
    <w:sig w:usb0="00000000" w:usb1="00000000" w:usb2="00000000" w:usb3="00000000" w:csb0="00000000" w:csb1="00000000"/>
  </w:font>
  <w:font w:name="方正兰亭超细黑简体">
    <w:panose1 w:val="02000000000000000000"/>
    <w:charset w:val="86"/>
    <w:family w:val="auto"/>
    <w:pitch w:val="default"/>
    <w:sig w:usb0="00000001" w:usb1="0800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DFKai-SB">
    <w:panose1 w:val="03000509000000000000"/>
    <w:charset w:val="88"/>
    <w:family w:val="auto"/>
    <w:pitch w:val="default"/>
    <w:sig w:usb0="00000003" w:usb1="082E0000" w:usb2="00000016" w:usb3="00000000" w:csb0="00100001" w:csb1="00000000"/>
  </w:font>
  <w:font w:name="BatangChe">
    <w:panose1 w:val="02030609000101010101"/>
    <w:charset w:val="81"/>
    <w:family w:val="auto"/>
    <w:pitch w:val="default"/>
    <w:sig w:usb0="B00002AF" w:usb1="69D77CFB" w:usb2="00000030" w:usb3="00000000" w:csb0="4008009F" w:csb1="DFD70000"/>
  </w:font>
  <w:font w:name="Batang">
    <w:panose1 w:val="02030600000101010101"/>
    <w:charset w:val="81"/>
    <w:family w:val="auto"/>
    <w:pitch w:val="default"/>
    <w:sig w:usb0="B00002AF" w:usb1="69D77CFB" w:usb2="00000030" w:usb3="00000000" w:csb0="4008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">
              <v:fill on="f" focussize="0,0"/>
              <v:stroke on="f" weight="0.5pt"/>
              <v:imagedata o:title=""/>
              <o:lock v:ext="edit" aspectratio="f"/>
              <v:textbox inset="0mm,0mm,0mm,0mm" style="mso-fit-shape-to-text:t;">
                <w:txbxContent>
                  <w:p>
                    <w:pPr>
                      <w:snapToGrid w:val="0"/>
                      <w:rPr>
                        <w:rFonts w:hint="eastAsia" w:asciiTheme="majorEastAsia" w:hAnsiTheme="majorEastAsia" w:eastAsiaTheme="majorEastAsia" w:cstheme="majorEastAsia"/>
                        <w:sz w:val="28"/>
                        <w:szCs w:val="28"/>
                        <w:lang w:eastAsia="zh-CN"/>
                      </w:rPr>
                    </w:pPr>
                    <w:r>
                      <w:rPr>
                        <w:rFonts w:hint="eastAsia" w:asciiTheme="majorEastAsia" w:hAnsiTheme="majorEastAsia" w:eastAsiaTheme="majorEastAsia" w:cstheme="majorEastAsia"/>
                        <w:sz w:val="28"/>
                        <w:szCs w:val="28"/>
                        <w:lang w:eastAsia="zh-CN"/>
                      </w:rPr>
                      <w:fldChar w:fldCharType="begin"/>
                    </w:r>
                    <w:r>
                      <w:rPr>
                        <w:rFonts w:hint="eastAsia" w:asciiTheme="majorEastAsia" w:hAnsiTheme="majorEastAsia" w:eastAsiaTheme="majorEastAsia" w:cstheme="majorEastAsia"/>
                        <w:sz w:val="28"/>
                        <w:szCs w:val="28"/>
                        <w:lang w:eastAsia="zh-CN"/>
                      </w:rPr>
                      <w:instrText xml:space="preserve"> PAGE  \* MERGEFORMAT </w:instrText>
                    </w:r>
                    <w:r>
                      <w:rPr>
                        <w:rFonts w:hint="eastAsia" w:asciiTheme="majorEastAsia" w:hAnsiTheme="majorEastAsia" w:eastAsiaTheme="majorEastAsia" w:cstheme="majorEastAsia"/>
                        <w:sz w:val="28"/>
                        <w:szCs w:val="28"/>
                        <w:lang w:eastAsia="zh-CN"/>
                      </w:rPr>
                      <w:fldChar w:fldCharType="separate"/>
                    </w:r>
                    <w:r>
                      <w:rPr>
                        <w:rFonts w:hint="eastAsia" w:asciiTheme="majorEastAsia" w:hAnsiTheme="majorEastAsia" w:eastAsiaTheme="majorEastAsia" w:cstheme="majorEastAsia"/>
                        <w:sz w:val="28"/>
                        <w:szCs w:val="28"/>
                        <w:lang w:eastAsia="zh-CN"/>
                      </w:rPr>
                      <w:t>1</w:t>
                    </w:r>
                    <w:r>
                      <w:rPr>
                        <w:rFonts w:hint="eastAsia" w:asciiTheme="majorEastAsia" w:hAnsiTheme="majorEastAsia" w:eastAsiaTheme="majorEastAsia" w:cstheme="majorEastAsia"/>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8FABAFE"/>
    <w:multiLevelType w:val="singleLevel"/>
    <w:tmpl w:val="D8FABAFE"/>
    <w:lvl w:ilvl="0" w:tentative="0">
      <w:start w:val="1"/>
      <w:numFmt w:val="chineseCounting"/>
      <w:suff w:val="nothing"/>
      <w:lvlText w:val="%1、"/>
      <w:lvlJc w:val="left"/>
      <w:pPr>
        <w:ind w:left="640" w:leftChars="0" w:firstLine="0" w:firstLineChars="0"/>
      </w:pPr>
      <w:rPr>
        <w:rFonts w:hint="eastAsia"/>
      </w:rPr>
    </w:lvl>
  </w:abstractNum>
  <w:abstractNum w:abstractNumId="1">
    <w:nsid w:val="67F9C464"/>
    <w:multiLevelType w:val="singleLevel"/>
    <w:tmpl w:val="67F9C464"/>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IwMzk3YzhhNDE3YTk4NTgzZTE3YmJmNTNmYjI3NjMifQ=="/>
  </w:docVars>
  <w:rsids>
    <w:rsidRoot w:val="53E63123"/>
    <w:rsid w:val="05F6623A"/>
    <w:rsid w:val="0B7D5C40"/>
    <w:rsid w:val="11F25CAA"/>
    <w:rsid w:val="126E8595"/>
    <w:rsid w:val="193FE74A"/>
    <w:rsid w:val="19931606"/>
    <w:rsid w:val="1D365220"/>
    <w:rsid w:val="1DBE8DE8"/>
    <w:rsid w:val="1E499E54"/>
    <w:rsid w:val="1FA13481"/>
    <w:rsid w:val="24A748A8"/>
    <w:rsid w:val="2AE69320"/>
    <w:rsid w:val="2DFFA40F"/>
    <w:rsid w:val="2E8B0C3C"/>
    <w:rsid w:val="35FD15B6"/>
    <w:rsid w:val="37DCD1B5"/>
    <w:rsid w:val="37F555E1"/>
    <w:rsid w:val="3B4B0B47"/>
    <w:rsid w:val="3DFF09AD"/>
    <w:rsid w:val="3F770504"/>
    <w:rsid w:val="47FF6CA9"/>
    <w:rsid w:val="52642AAB"/>
    <w:rsid w:val="53E63123"/>
    <w:rsid w:val="53F2144E"/>
    <w:rsid w:val="56F60C37"/>
    <w:rsid w:val="57BB003E"/>
    <w:rsid w:val="5CBF37B8"/>
    <w:rsid w:val="5CC4F162"/>
    <w:rsid w:val="5D7DEB8E"/>
    <w:rsid w:val="5D9F1F08"/>
    <w:rsid w:val="5E3D67D6"/>
    <w:rsid w:val="5E5D40D4"/>
    <w:rsid w:val="5F3C07EA"/>
    <w:rsid w:val="5F5F1C7C"/>
    <w:rsid w:val="5FBDC847"/>
    <w:rsid w:val="5FDDB661"/>
    <w:rsid w:val="60EE57DC"/>
    <w:rsid w:val="63496640"/>
    <w:rsid w:val="63BF5FC2"/>
    <w:rsid w:val="65FF3FF0"/>
    <w:rsid w:val="676B7546"/>
    <w:rsid w:val="67AD7F09"/>
    <w:rsid w:val="67D7DD5A"/>
    <w:rsid w:val="6EA79B51"/>
    <w:rsid w:val="6F3F61C0"/>
    <w:rsid w:val="6F7F283F"/>
    <w:rsid w:val="6FE55D48"/>
    <w:rsid w:val="6FEC600D"/>
    <w:rsid w:val="6FFFB09F"/>
    <w:rsid w:val="704001DD"/>
    <w:rsid w:val="73FD2E1F"/>
    <w:rsid w:val="74FC06FF"/>
    <w:rsid w:val="76BE2268"/>
    <w:rsid w:val="77BB5A8C"/>
    <w:rsid w:val="77F16C6F"/>
    <w:rsid w:val="79DD0A41"/>
    <w:rsid w:val="79F7CA8B"/>
    <w:rsid w:val="7B0A118F"/>
    <w:rsid w:val="7B0B61A3"/>
    <w:rsid w:val="7B1BE737"/>
    <w:rsid w:val="7BB77E4C"/>
    <w:rsid w:val="7D3EAAA5"/>
    <w:rsid w:val="7D5D53C1"/>
    <w:rsid w:val="7DEFA1E2"/>
    <w:rsid w:val="7DF7A9C5"/>
    <w:rsid w:val="7F24FD45"/>
    <w:rsid w:val="7F57E16C"/>
    <w:rsid w:val="7F77B2DD"/>
    <w:rsid w:val="7FDA8DA4"/>
    <w:rsid w:val="7FF61BBF"/>
    <w:rsid w:val="7FFF833A"/>
    <w:rsid w:val="8FBD1F84"/>
    <w:rsid w:val="957D5BB6"/>
    <w:rsid w:val="97DF0411"/>
    <w:rsid w:val="97E420DB"/>
    <w:rsid w:val="9BF7E1CD"/>
    <w:rsid w:val="9EDEBAF4"/>
    <w:rsid w:val="A3F1437F"/>
    <w:rsid w:val="A7FF26AA"/>
    <w:rsid w:val="ABEF70DF"/>
    <w:rsid w:val="ADF9CD87"/>
    <w:rsid w:val="B3FF2A31"/>
    <w:rsid w:val="B67750E2"/>
    <w:rsid w:val="BA7B23C6"/>
    <w:rsid w:val="BBDC8842"/>
    <w:rsid w:val="BF6BDEA5"/>
    <w:rsid w:val="BF7FF8FD"/>
    <w:rsid w:val="BFCBC23C"/>
    <w:rsid w:val="BFDF0801"/>
    <w:rsid w:val="C7AF62EF"/>
    <w:rsid w:val="C9AFC617"/>
    <w:rsid w:val="CEDF6231"/>
    <w:rsid w:val="D2E4E3C3"/>
    <w:rsid w:val="D2FF7456"/>
    <w:rsid w:val="D55B7BD2"/>
    <w:rsid w:val="D773A1DE"/>
    <w:rsid w:val="D78F7013"/>
    <w:rsid w:val="D7EE4634"/>
    <w:rsid w:val="DDAF0445"/>
    <w:rsid w:val="DFAFF497"/>
    <w:rsid w:val="DFBFA457"/>
    <w:rsid w:val="DFFD36E9"/>
    <w:rsid w:val="DFFE6FDC"/>
    <w:rsid w:val="E6BD7E33"/>
    <w:rsid w:val="E7AE27E9"/>
    <w:rsid w:val="EB5C727D"/>
    <w:rsid w:val="EBC3F134"/>
    <w:rsid w:val="EEEA28F0"/>
    <w:rsid w:val="EF3F2517"/>
    <w:rsid w:val="EFB4FF49"/>
    <w:rsid w:val="F5971B18"/>
    <w:rsid w:val="F6FD5092"/>
    <w:rsid w:val="F7A60975"/>
    <w:rsid w:val="F7CFE5D0"/>
    <w:rsid w:val="F7DE6461"/>
    <w:rsid w:val="F7FD3CCD"/>
    <w:rsid w:val="F93BA1E6"/>
    <w:rsid w:val="FBD74E24"/>
    <w:rsid w:val="FBF76287"/>
    <w:rsid w:val="FD9B9DE1"/>
    <w:rsid w:val="FDB2B322"/>
    <w:rsid w:val="FDBBDE6D"/>
    <w:rsid w:val="FDF7A09A"/>
    <w:rsid w:val="FE7FAACD"/>
    <w:rsid w:val="FF32EA95"/>
    <w:rsid w:val="FF5F299C"/>
    <w:rsid w:val="FFDD2AD0"/>
    <w:rsid w:val="FFDF3C72"/>
    <w:rsid w:val="FFE779DC"/>
    <w:rsid w:val="FFF699DC"/>
    <w:rsid w:val="FFFB52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Body Text First Indent"/>
    <w:basedOn w:val="4"/>
    <w:qFormat/>
    <w:uiPriority w:val="0"/>
    <w:pPr>
      <w:ind w:firstLine="420" w:firstLineChars="100"/>
    </w:pPr>
  </w:style>
  <w:style w:type="paragraph" w:styleId="4">
    <w:name w:val="Body Text"/>
    <w:basedOn w:val="1"/>
    <w:qFormat/>
    <w:uiPriority w:val="0"/>
    <w:pPr>
      <w:spacing w:after="120" w:afterLines="0" w:afterAutospacing="0"/>
    </w:p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Autospacing="1" w:afterAutospacing="1"/>
      <w:jc w:val="left"/>
    </w:pPr>
    <w:rPr>
      <w:rFonts w:cs="Times New Roman"/>
      <w:kern w:val="0"/>
      <w:sz w:val="24"/>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customStyle="1" w:styleId="10">
    <w:name w:val="Table Normal"/>
    <w:unhideWhenUsed/>
    <w:qFormat/>
    <w:uiPriority w:val="0"/>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1508</Words>
  <Characters>1543</Characters>
  <Lines>0</Lines>
  <Paragraphs>0</Paragraphs>
  <TotalTime>17</TotalTime>
  <ScaleCrop>false</ScaleCrop>
  <LinksUpToDate>false</LinksUpToDate>
  <CharactersWithSpaces>1700</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2023-03-03T17:45:00Z</dcterms:created>
  <dc:creator>lime</dc:creator>
  <cp:lastModifiedBy>Administrator</cp:lastModifiedBy>
  <cp:lastPrinted>2023-08-31T07:44:20Z</cp:lastPrinted>
  <dcterms:modified xsi:type="dcterms:W3CDTF">2023-08-31T07:49:29Z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y fmtid="{D5CDD505-2E9C-101B-9397-08002B2CF9AE}" pid="3" name="ICV">
    <vt:lpwstr>D30B916B595F492AAD301E5EFE7740E0</vt:lpwstr>
  </property>
</Properties>
</file>