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D9" w:rsidRDefault="00571F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建设镇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年财政预算执行情况及</w:t>
      </w:r>
    </w:p>
    <w:p w:rsidR="00A24AD9" w:rsidRDefault="00571F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年财政预算草案的报告</w:t>
      </w:r>
    </w:p>
    <w:p w:rsidR="00A24AD9" w:rsidRDefault="00571F42">
      <w:pPr>
        <w:spacing w:line="560" w:lineRule="exact"/>
        <w:jc w:val="center"/>
        <w:rPr>
          <w:rFonts w:ascii="楷体_GB2312" w:eastAsia="楷体_GB2312" w:hAnsi="楷体_GB2312" w:cs="楷体_GB2312"/>
          <w:spacing w:val="-11"/>
          <w:sz w:val="32"/>
          <w:szCs w:val="32"/>
        </w:rPr>
      </w:pPr>
      <w:r>
        <w:rPr>
          <w:rFonts w:ascii="仿宋_GB2312" w:eastAsia="仿宋_GB2312" w:hint="eastAsia"/>
          <w:spacing w:val="-6"/>
          <w:sz w:val="28"/>
          <w:szCs w:val="18"/>
        </w:rPr>
        <w:t>——</w:t>
      </w:r>
      <w:r>
        <w:rPr>
          <w:rFonts w:ascii="仿宋_GB2312" w:eastAsia="仿宋_GB2312" w:hint="eastAsia"/>
          <w:spacing w:val="-6"/>
          <w:sz w:val="28"/>
          <w:szCs w:val="18"/>
        </w:rPr>
        <w:t>2021</w:t>
      </w:r>
      <w:r>
        <w:rPr>
          <w:rFonts w:ascii="仿宋_GB2312" w:eastAsia="仿宋_GB2312" w:hint="eastAsia"/>
          <w:spacing w:val="-6"/>
          <w:sz w:val="28"/>
          <w:szCs w:val="18"/>
        </w:rPr>
        <w:t>年</w:t>
      </w:r>
      <w:r>
        <w:rPr>
          <w:rFonts w:ascii="仿宋_GB2312" w:eastAsia="仿宋_GB2312" w:hint="eastAsia"/>
          <w:spacing w:val="-6"/>
          <w:sz w:val="28"/>
          <w:szCs w:val="18"/>
        </w:rPr>
        <w:t>12</w:t>
      </w:r>
      <w:r>
        <w:rPr>
          <w:rFonts w:ascii="仿宋_GB2312" w:eastAsia="仿宋_GB2312" w:hint="eastAsia"/>
          <w:spacing w:val="-6"/>
          <w:sz w:val="28"/>
          <w:szCs w:val="18"/>
        </w:rPr>
        <w:t>月</w:t>
      </w:r>
      <w:r>
        <w:rPr>
          <w:rFonts w:ascii="仿宋_GB2312" w:eastAsia="仿宋_GB2312" w:hint="eastAsia"/>
          <w:spacing w:val="-6"/>
          <w:sz w:val="28"/>
          <w:szCs w:val="18"/>
        </w:rPr>
        <w:t>16</w:t>
      </w:r>
      <w:r>
        <w:rPr>
          <w:rFonts w:ascii="仿宋_GB2312" w:eastAsia="仿宋_GB2312" w:hint="eastAsia"/>
          <w:spacing w:val="-6"/>
          <w:sz w:val="28"/>
          <w:szCs w:val="18"/>
        </w:rPr>
        <w:t>日在</w:t>
      </w:r>
      <w:proofErr w:type="gramStart"/>
      <w:r>
        <w:rPr>
          <w:rFonts w:ascii="仿宋_GB2312" w:eastAsia="仿宋_GB2312" w:hint="eastAsia"/>
          <w:spacing w:val="-6"/>
          <w:sz w:val="28"/>
          <w:szCs w:val="18"/>
        </w:rPr>
        <w:t>崇明区</w:t>
      </w:r>
      <w:proofErr w:type="gramEnd"/>
      <w:r>
        <w:rPr>
          <w:rFonts w:ascii="仿宋_GB2312" w:eastAsia="仿宋_GB2312" w:hint="eastAsia"/>
          <w:spacing w:val="-6"/>
          <w:sz w:val="28"/>
          <w:szCs w:val="18"/>
        </w:rPr>
        <w:t>建设镇第二届人民代表大会第一次会议上</w:t>
      </w:r>
    </w:p>
    <w:p w:rsidR="00A24AD9" w:rsidRDefault="00A24AD9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A24AD9" w:rsidRDefault="00571F42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同志们：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我代表建设镇人民政府，向大会报告镇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年财政预算草案，请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议，并请各位代表提出宝贵意见。</w:t>
      </w:r>
    </w:p>
    <w:p w:rsidR="00A24AD9" w:rsidRDefault="00571F42">
      <w:pPr>
        <w:spacing w:before="200" w:after="200"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2021</w:t>
      </w:r>
      <w:r>
        <w:rPr>
          <w:rFonts w:ascii="黑体" w:eastAsia="黑体" w:hAnsi="黑体" w:cs="黑体" w:hint="eastAsia"/>
          <w:bCs/>
          <w:sz w:val="32"/>
          <w:szCs w:val="32"/>
        </w:rPr>
        <w:t>年财政预算执行情况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年，在镇党委和上级部门的正确领导下，在镇人大的监督支持和各部门的密切配合下，镇财政紧紧围绕镇党委的决策部署，牢牢把握稳中求进的工作原则，</w:t>
      </w:r>
      <w:r w:rsidRPr="00133A96">
        <w:rPr>
          <w:rFonts w:ascii="仿宋_GB2312" w:eastAsia="仿宋_GB2312" w:hAnsi="仿宋_GB2312" w:cs="仿宋_GB2312" w:hint="eastAsia"/>
          <w:sz w:val="32"/>
          <w:szCs w:val="32"/>
        </w:rPr>
        <w:t>积极</w:t>
      </w:r>
      <w:proofErr w:type="gramStart"/>
      <w:r w:rsidRPr="00133A96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Pr="00133A96">
        <w:rPr>
          <w:rFonts w:ascii="仿宋_GB2312" w:eastAsia="仿宋_GB2312" w:hAnsi="仿宋_GB2312" w:cs="仿宋_GB2312" w:hint="eastAsia"/>
          <w:sz w:val="32"/>
          <w:szCs w:val="32"/>
        </w:rPr>
        <w:t>新发展理念，充分发挥财政职能，全力保障民生和重点领域支出，着力提升理财服务水平，圆满完成了预算执行任务，为我镇“十四五”规划开局之年提供了坚实的财政保障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，促进了全镇经济社会和各项事业的协调发展。现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年预算执行情况报告如下：</w:t>
      </w:r>
    </w:p>
    <w:p w:rsidR="00A24AD9" w:rsidRDefault="00571F42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（一）一般公共预算收入执行情况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年，镇级财政一般公共预算收入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30000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4AD9" w:rsidRDefault="00571F42">
      <w:pPr>
        <w:spacing w:line="54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（二）一般公共预算支出执行情况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年，按照区委、区政府和镇党委的决策部署，镇级预算安排坚持统筹兼顾、突出重点的原则，进一步调整和优化财政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支出结构。镇级财政一般公共预算支出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30000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万元，截止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27930.73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93.1%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，具体如下：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、一般公共服务：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1823.85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万元。主要用于：行政管理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后勤保障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财政事务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党务支出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其他一般公共服务等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、教育：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57.24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万元。主要用于：学前教育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成人教育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其他教育等支出。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、科学技术：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200.74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万元。主要用于：科普宣传、科普示范</w:t>
      </w:r>
      <w:r>
        <w:rPr>
          <w:rFonts w:ascii="仿宋_GB2312" w:eastAsia="仿宋_GB2312" w:hAnsi="仿宋_GB2312" w:cs="仿宋_GB2312" w:hint="eastAsia"/>
          <w:sz w:val="32"/>
          <w:szCs w:val="32"/>
        </w:rPr>
        <w:t>村建设、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科技创新扶持等支出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、文化旅游体育与传媒：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万元。主要用于：乡村旅游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文化中心运维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文化专项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体育专项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文体设备购置等支出。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、社会保障和就业：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16288.57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万元。主要用于民政事业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敬老院经费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受理中心经费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社区工作者事务所经费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生态养护社经费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党员干部慰问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行政事业单位养老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促进就业奖励资金等支出。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、卫生健康：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526.61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万元。主要用于：健康促进工作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爱卫工作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癌症康复协会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献血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人口和计划生育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行政事业单位医疗等支出。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、节能环保：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1600.69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万元。主要用于：市容所经费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节能降耗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节能减排专项资金等支出。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、城乡社区事务：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4124.04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万元。主要用于城建中心、城运中心、城管中队、经济小区等单位经费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人大、纪委、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武装部、群团组织、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维稳等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创城创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锦宾物业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农村环境建设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、农林水事务：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1188.65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万元。主要用于：农业事业费（包括农技中心经费、农业综合保险、畜牧兽医防疫、农产品监管、为农服务、农业培训、涉农“一点通”推广、镇区绿化、土地流转及用地补贴、镇级农村扶持资金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、农业生产发展、乡村振兴建设）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林业事业费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水利事业费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联扶平台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资金（注册企业扶持）等支出。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、其他商业流通事务：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经济小区注册企业的海岛扶持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、住房保障：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921.34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用于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、预备费：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24AD9" w:rsidRDefault="00571F42">
      <w:pPr>
        <w:snapToGrid w:val="0"/>
        <w:spacing w:line="5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在经济下行、刚性支出加大以及新冠肺炎疫情、花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博迎办保障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综合因素影响下，我镇经济保持了稳定的发展势头，财政发展与经济建设实现了良性互动，财政各项工作取得较好成效，这是镇党委坚强领导的结果，是镇人大及代表们支持监督的结果，是全镇各部门、各单位和社会各界齐心协力、共同努力的结果。</w:t>
      </w:r>
    </w:p>
    <w:p w:rsidR="00A24AD9" w:rsidRDefault="00571F42">
      <w:pPr>
        <w:snapToGrid w:val="0"/>
        <w:spacing w:line="5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同时，</w:t>
      </w:r>
      <w:r>
        <w:rPr>
          <w:rFonts w:ascii="仿宋_GB2312" w:eastAsia="仿宋_GB2312" w:hAnsi="仿宋_GB2312" w:cs="仿宋_GB2312"/>
          <w:sz w:val="32"/>
          <w:szCs w:val="32"/>
        </w:rPr>
        <w:t>我们也清醒地认识到，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在新形势下，</w:t>
      </w:r>
      <w:r>
        <w:rPr>
          <w:rFonts w:ascii="仿宋_GB2312" w:eastAsia="仿宋_GB2312" w:hAnsi="仿宋_GB2312" w:cs="仿宋_GB2312"/>
          <w:sz w:val="32"/>
          <w:szCs w:val="32"/>
        </w:rPr>
        <w:t>财政运行中还面临</w:t>
      </w:r>
      <w:r>
        <w:rPr>
          <w:rFonts w:ascii="仿宋_GB2312" w:eastAsia="仿宋_GB2312" w:hAnsi="仿宋_GB2312" w:cs="仿宋_GB2312" w:hint="eastAsia"/>
          <w:sz w:val="32"/>
          <w:szCs w:val="32"/>
        </w:rPr>
        <w:t>着</w:t>
      </w:r>
      <w:r>
        <w:rPr>
          <w:rFonts w:ascii="仿宋_GB2312" w:eastAsia="仿宋_GB2312" w:hAnsi="仿宋_GB2312" w:cs="仿宋_GB2312"/>
          <w:sz w:val="32"/>
          <w:szCs w:val="32"/>
        </w:rPr>
        <w:t>一些困难和挑战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，主要体现在：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、虽然财政收入实现稳步增长，但增收基础仍不牢固；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、财政收支“紧平衡”状况日趋明显，重大项目、基建项目需持续资金配套保障；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预算绩效管理理念尚未牢</w:t>
      </w:r>
      <w:r>
        <w:rPr>
          <w:rFonts w:ascii="仿宋_GB2312" w:eastAsia="仿宋_GB2312" w:hAnsi="仿宋_GB2312" w:cs="仿宋_GB2312"/>
          <w:sz w:val="32"/>
          <w:szCs w:val="32"/>
        </w:rPr>
        <w:t>固树立，</w:t>
      </w:r>
      <w:r>
        <w:rPr>
          <w:rFonts w:ascii="仿宋_GB2312" w:eastAsia="仿宋_GB2312" w:hAnsi="仿宋_GB2312" w:cs="仿宋_GB2312" w:hint="eastAsia"/>
          <w:sz w:val="32"/>
          <w:szCs w:val="32"/>
        </w:rPr>
        <w:t>硬化预算约束的环境和意识有待加强。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对此，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我们将</w:t>
      </w:r>
      <w:r>
        <w:rPr>
          <w:rFonts w:ascii="仿宋_GB2312" w:eastAsia="仿宋_GB2312" w:hAnsi="仿宋_GB2312" w:cs="仿宋_GB2312"/>
          <w:sz w:val="32"/>
          <w:szCs w:val="32"/>
        </w:rPr>
        <w:t>高度重视，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在今后的工作中认真研究加以解决。团结一致，形成合力，充分调动各方力量，确保</w:t>
      </w:r>
      <w:r>
        <w:rPr>
          <w:rFonts w:ascii="仿宋_GB2312" w:eastAsia="仿宋_GB2312" w:hAnsi="仿宋_GB2312" w:cs="仿宋_GB2312"/>
          <w:sz w:val="32"/>
          <w:szCs w:val="32"/>
        </w:rPr>
        <w:t>财政运行稳中有进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，经济社会大局健康发展。</w:t>
      </w:r>
    </w:p>
    <w:p w:rsidR="00A24AD9" w:rsidRDefault="00571F42">
      <w:pPr>
        <w:spacing w:before="200" w:after="200" w:line="540" w:lineRule="exact"/>
        <w:jc w:val="center"/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z w:val="32"/>
          <w:szCs w:val="32"/>
        </w:rPr>
        <w:t>2022</w:t>
      </w:r>
      <w:r>
        <w:rPr>
          <w:rFonts w:ascii="黑体" w:eastAsia="黑体" w:hAnsi="黑体" w:cs="黑体" w:hint="eastAsia"/>
          <w:bCs/>
          <w:sz w:val="32"/>
          <w:szCs w:val="32"/>
        </w:rPr>
        <w:t>年财政预算草案</w:t>
      </w:r>
    </w:p>
    <w:p w:rsidR="00A24AD9" w:rsidRDefault="00571F42">
      <w:pPr>
        <w:pStyle w:val="a5"/>
        <w:spacing w:before="0" w:beforeAutospacing="0" w:after="0" w:afterAutospacing="0" w:line="540" w:lineRule="exact"/>
        <w:ind w:righ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年，镇财政工作的指导思想是：</w:t>
      </w:r>
      <w:r>
        <w:rPr>
          <w:rFonts w:ascii="仿宋_GB2312" w:eastAsia="仿宋_GB2312" w:hint="eastAsia"/>
          <w:sz w:val="32"/>
          <w:szCs w:val="32"/>
        </w:rPr>
        <w:t>以习近平新时代中国特色社会主义思想为指导，认真落实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党委的决策部署，紧密结合镇经济社会发展形势，坚持稳中求进的工作总基调，进一步规范预算管理，提高财政收入质量，优化财政支出结构，着力保障改善民生，促进镇经济持续健康平稳发展。现将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年财政预算草案报告如下：</w:t>
      </w:r>
    </w:p>
    <w:p w:rsidR="00A24AD9" w:rsidRDefault="00571F42">
      <w:pPr>
        <w:spacing w:line="54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（一）一般公共预算收入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年，本镇一般公共预算收入目标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35900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年增长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19.67%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A24AD9" w:rsidRDefault="00571F42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（二）一般公共预算支出</w:t>
      </w:r>
    </w:p>
    <w:p w:rsidR="00A24AD9" w:rsidRDefault="00571F42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年，本镇一般公共预算支出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5900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万元，比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年增长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19.67%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，主要增涨因素：一是社会保障和就业资金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刚性支出加大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；二是生态养护社补贴结构调整承担比率增加；三是人员经费自然增长。具体安排如下：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、一般公共服务：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3483.09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9.7%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。主要用于：人大事务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纪检监督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发展与改革事务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审计事务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统计信息事</w:t>
      </w:r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群众团体事务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其他党务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其他一般公共服务等资金。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、教育：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0.1%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：学前教育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成人教育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其他教育等资金。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、科学技术：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0.57%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。主要用于：科普宣传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科普示范村建设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、文化旅游体育与传媒：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250.69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。主要用于：乡村旅游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文化中心运维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文化专项经费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体育专项经费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文体设备购置等资金。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、社会保障和就业：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19563.51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54.49%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。主要用于：民政管理事务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就业补助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社会福利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残疾人事业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农村低保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其他社会保障等资金。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、卫生健康：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617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1.72%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。主要用于：公共卫生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计划生育事务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行政事业单位医疗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其他卫生健康事务等资金。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7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、节能环保：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2714.38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7.56%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：自然生态保护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污染减排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环境保护管理事务等资金。</w:t>
      </w:r>
    </w:p>
    <w:p w:rsidR="00A24AD9" w:rsidRDefault="00571F42">
      <w:pPr>
        <w:spacing w:line="50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、城乡社区事务：</w:t>
      </w:r>
      <w:r>
        <w:rPr>
          <w:rFonts w:ascii="楷体_GB2312" w:eastAsia="楷体_GB2312" w:hAnsi="楷体_GB2312" w:cs="楷体_GB2312" w:hint="eastAsia"/>
          <w:bCs/>
          <w:color w:val="000000" w:themeColor="text1"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3339.3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9.31%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。主要用于：城乡社区管理事务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城乡社区规划与管理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城乡社区公共设施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其他城乡社区支出等资金。</w:t>
      </w:r>
    </w:p>
    <w:p w:rsidR="00A24AD9" w:rsidRDefault="00571F42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、农林水事务：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2088.98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5.82%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农业经费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林业经费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水利经费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农村综合改革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其他农林水支出等资金。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、其他商业流通事务：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2435.46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6.78%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。（注册企业扶持）现代服务业引导资金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经济小区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工作经费等资金。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、住房保障：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983.16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2.74%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。主要用于：住房保障资金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4AD9" w:rsidRDefault="00571F42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、预备费：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182.43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万元，占预算支出的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0.51%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4AD9" w:rsidRDefault="00571F42">
      <w:pPr>
        <w:spacing w:before="200" w:after="200"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2022</w:t>
      </w:r>
      <w:r>
        <w:rPr>
          <w:rFonts w:ascii="黑体" w:eastAsia="黑体" w:hAnsi="黑体" w:cs="黑体" w:hint="eastAsia"/>
          <w:bCs/>
          <w:sz w:val="32"/>
          <w:szCs w:val="32"/>
        </w:rPr>
        <w:t>年财政工作重点</w:t>
      </w:r>
    </w:p>
    <w:p w:rsidR="00A24AD9" w:rsidRDefault="00571F4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年，财政工作紧紧围绕镇“十四五”规划，深刻理解领会新要求、新特点、新任务，克服压力和困难，扎实做好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年财政工作任务，我们将重点抓好以下工作：</w:t>
      </w:r>
    </w:p>
    <w:p w:rsidR="00A24AD9" w:rsidRDefault="00571F42">
      <w:pPr>
        <w:pStyle w:val="a5"/>
        <w:spacing w:before="0" w:beforeAutospacing="0" w:after="0" w:afterAutospacing="0" w:line="540" w:lineRule="exact"/>
        <w:ind w:firstLine="60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kern w:val="2"/>
          <w:sz w:val="32"/>
          <w:szCs w:val="32"/>
        </w:rPr>
        <w:t>（一）着力加强开源节流，确保财政收入平稳运行。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一是继续优化营商环境，在稳存量的基础上，以平台经济发展作为财源建设的新思路和税收增长的新突破，确保我镇财政收入再上新台阶；二是牢固树立过紧日子思想，强化节流，严肃财经纪律，加大支出结构调整力度，从严控制新增项目支出；三是积极清理暂付款，努力盘活存量资金，对超过规定时限未使用完的结转结余资金一律收回统筹使用。</w:t>
      </w:r>
    </w:p>
    <w:p w:rsidR="00A24AD9" w:rsidRDefault="00571F42">
      <w:pPr>
        <w:widowControl/>
        <w:spacing w:line="540" w:lineRule="exact"/>
        <w:ind w:right="21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（二）着力加强预算管理，提高财政保障力度。</w:t>
      </w:r>
      <w:r>
        <w:rPr>
          <w:rFonts w:ascii="仿宋_GB2312" w:eastAsia="仿宋_GB2312" w:hint="eastAsia"/>
          <w:sz w:val="32"/>
          <w:szCs w:val="32"/>
        </w:rPr>
        <w:t>一是全面树立预算的权威性和严肃性，坚持先有项目，后有预算，先有预算，后有支出，硬化预算约束，规范预算执行；二是科学编制预算，进一步细化预算编制，加强综合预算管理</w:t>
      </w:r>
      <w:r>
        <w:rPr>
          <w:rFonts w:ascii="仿宋_GB2312" w:eastAsia="仿宋_GB2312" w:hint="eastAsia"/>
          <w:sz w:val="32"/>
          <w:szCs w:val="32"/>
        </w:rPr>
        <w:t>，完善预算监管机制；三是着力优化支出结构，切实把“三保”放在财政支出的优先位置，统筹预算安排社会事业发展资金。</w:t>
      </w:r>
    </w:p>
    <w:p w:rsidR="00A24AD9" w:rsidRDefault="00571F42">
      <w:pPr>
        <w:widowControl/>
        <w:spacing w:line="540" w:lineRule="exact"/>
        <w:ind w:right="21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（三）着力加强绩效管理，提升财政管理水平。</w:t>
      </w:r>
      <w:r>
        <w:rPr>
          <w:rFonts w:ascii="仿宋_GB2312" w:eastAsia="仿宋_GB2312" w:hint="eastAsia"/>
          <w:sz w:val="32"/>
          <w:szCs w:val="32"/>
        </w:rPr>
        <w:t>一是进一步推进财政工作科学化精细化管理，充分发挥财政监督职能作用，推进财政监督和绩效管理的有机结合。二是加强预算绩效管理，强化支出责任和效率意识，落实“花钱必问效、无效必问责”的理念，压实部门主体责任；三是强化各单位内控制度，加强队伍建设，严格要求、严格管理、严格监督，不断提高依法行政、依法理财水平。</w:t>
      </w:r>
    </w:p>
    <w:p w:rsidR="00A24AD9" w:rsidRPr="00133A96" w:rsidRDefault="00571F42">
      <w:pPr>
        <w:pStyle w:val="a5"/>
        <w:spacing w:before="0" w:beforeAutospacing="0" w:after="0" w:afterAutospacing="0" w:line="540" w:lineRule="exact"/>
        <w:ind w:firstLine="643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各位代表，</w:t>
      </w:r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2022</w:t>
      </w:r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年是“十四五”规划</w:t>
      </w:r>
      <w:proofErr w:type="gramStart"/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落实奋斗</w:t>
      </w:r>
      <w:proofErr w:type="gramEnd"/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之年，做好</w:t>
      </w:r>
      <w:r w:rsidRPr="00133A96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今年的财政工作，责任重大，意义深远。新时代开启新征程，新征程呼唤新作为，我们决心在镇党委的坚强领导下，在镇人大的监督指导下，以更加坚定的信念、务实的作风，不忘初心、砥砺前行，为我镇经济建设和各项社会事业发展做出贡献。</w:t>
      </w:r>
      <w:bookmarkStart w:id="0" w:name="_GoBack"/>
      <w:bookmarkEnd w:id="0"/>
    </w:p>
    <w:sectPr w:rsidR="00A24AD9" w:rsidRPr="00133A96">
      <w:footerReference w:type="even" r:id="rId8"/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42" w:rsidRDefault="00571F42">
      <w:r>
        <w:separator/>
      </w:r>
    </w:p>
  </w:endnote>
  <w:endnote w:type="continuationSeparator" w:id="0">
    <w:p w:rsidR="00571F42" w:rsidRDefault="0057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D9" w:rsidRDefault="00571F42">
    <w:pPr>
      <w:pStyle w:val="a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4AD9" w:rsidRDefault="00A24AD9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D9" w:rsidRDefault="00571F42">
    <w:pPr>
      <w:pStyle w:val="a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3A96">
      <w:rPr>
        <w:rStyle w:val="a6"/>
        <w:noProof/>
      </w:rPr>
      <w:t>1</w:t>
    </w:r>
    <w:r>
      <w:rPr>
        <w:rStyle w:val="a6"/>
      </w:rPr>
      <w:fldChar w:fldCharType="end"/>
    </w:r>
  </w:p>
  <w:p w:rsidR="00A24AD9" w:rsidRDefault="00A24AD9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42" w:rsidRDefault="00571F42">
      <w:r>
        <w:separator/>
      </w:r>
    </w:p>
  </w:footnote>
  <w:footnote w:type="continuationSeparator" w:id="0">
    <w:p w:rsidR="00571F42" w:rsidRDefault="0057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390"/>
    <w:rsid w:val="FEB7FA5F"/>
    <w:rsid w:val="00004C3C"/>
    <w:rsid w:val="000063B2"/>
    <w:rsid w:val="000123D9"/>
    <w:rsid w:val="000165BC"/>
    <w:rsid w:val="000312C9"/>
    <w:rsid w:val="00040FC3"/>
    <w:rsid w:val="00044FE8"/>
    <w:rsid w:val="000518A4"/>
    <w:rsid w:val="00051D23"/>
    <w:rsid w:val="00053203"/>
    <w:rsid w:val="000657D3"/>
    <w:rsid w:val="00076F31"/>
    <w:rsid w:val="00080820"/>
    <w:rsid w:val="000860C1"/>
    <w:rsid w:val="00086F18"/>
    <w:rsid w:val="000A58D8"/>
    <w:rsid w:val="000B736A"/>
    <w:rsid w:val="000C1D72"/>
    <w:rsid w:val="000C4E11"/>
    <w:rsid w:val="000D0522"/>
    <w:rsid w:val="000D420C"/>
    <w:rsid w:val="000D4B37"/>
    <w:rsid w:val="000F6CCA"/>
    <w:rsid w:val="001011E1"/>
    <w:rsid w:val="00103520"/>
    <w:rsid w:val="00103971"/>
    <w:rsid w:val="00126742"/>
    <w:rsid w:val="00133A96"/>
    <w:rsid w:val="00150615"/>
    <w:rsid w:val="00166089"/>
    <w:rsid w:val="001745AD"/>
    <w:rsid w:val="00182FD5"/>
    <w:rsid w:val="00185BD8"/>
    <w:rsid w:val="0019322D"/>
    <w:rsid w:val="001B3120"/>
    <w:rsid w:val="001C37F1"/>
    <w:rsid w:val="001C44E6"/>
    <w:rsid w:val="001C6C24"/>
    <w:rsid w:val="001E7DC1"/>
    <w:rsid w:val="001F0145"/>
    <w:rsid w:val="001F4F27"/>
    <w:rsid w:val="002002B9"/>
    <w:rsid w:val="00212CE8"/>
    <w:rsid w:val="00220FBE"/>
    <w:rsid w:val="002450EC"/>
    <w:rsid w:val="002539FD"/>
    <w:rsid w:val="002609B2"/>
    <w:rsid w:val="00262076"/>
    <w:rsid w:val="00264804"/>
    <w:rsid w:val="00293CD4"/>
    <w:rsid w:val="00294F89"/>
    <w:rsid w:val="00297893"/>
    <w:rsid w:val="002B0BE9"/>
    <w:rsid w:val="002B60D5"/>
    <w:rsid w:val="002D0ADC"/>
    <w:rsid w:val="002D2B82"/>
    <w:rsid w:val="002D5EA2"/>
    <w:rsid w:val="002D6FEA"/>
    <w:rsid w:val="003039D2"/>
    <w:rsid w:val="00305129"/>
    <w:rsid w:val="003070B2"/>
    <w:rsid w:val="003267E1"/>
    <w:rsid w:val="003322F4"/>
    <w:rsid w:val="00350977"/>
    <w:rsid w:val="00350F9B"/>
    <w:rsid w:val="003554E9"/>
    <w:rsid w:val="00364147"/>
    <w:rsid w:val="00364DB4"/>
    <w:rsid w:val="003B6459"/>
    <w:rsid w:val="003D7C57"/>
    <w:rsid w:val="003F1ABE"/>
    <w:rsid w:val="003F2D1F"/>
    <w:rsid w:val="003F3A93"/>
    <w:rsid w:val="003F4DE7"/>
    <w:rsid w:val="004135D6"/>
    <w:rsid w:val="004137E9"/>
    <w:rsid w:val="00416E4B"/>
    <w:rsid w:val="00427676"/>
    <w:rsid w:val="0044235B"/>
    <w:rsid w:val="0044655A"/>
    <w:rsid w:val="00446B29"/>
    <w:rsid w:val="004670B5"/>
    <w:rsid w:val="0048374A"/>
    <w:rsid w:val="00495413"/>
    <w:rsid w:val="004A67F9"/>
    <w:rsid w:val="004B23A4"/>
    <w:rsid w:val="004E1ADA"/>
    <w:rsid w:val="004F185F"/>
    <w:rsid w:val="004F5CC3"/>
    <w:rsid w:val="00501124"/>
    <w:rsid w:val="00503AB5"/>
    <w:rsid w:val="0052796D"/>
    <w:rsid w:val="00544287"/>
    <w:rsid w:val="00550A93"/>
    <w:rsid w:val="00552CEA"/>
    <w:rsid w:val="00571F42"/>
    <w:rsid w:val="005778B1"/>
    <w:rsid w:val="00580C08"/>
    <w:rsid w:val="005963BA"/>
    <w:rsid w:val="005A616D"/>
    <w:rsid w:val="005C3E13"/>
    <w:rsid w:val="00604A00"/>
    <w:rsid w:val="00605FEC"/>
    <w:rsid w:val="00613920"/>
    <w:rsid w:val="00630F5D"/>
    <w:rsid w:val="006344BE"/>
    <w:rsid w:val="00647115"/>
    <w:rsid w:val="00655AF1"/>
    <w:rsid w:val="006565C5"/>
    <w:rsid w:val="00681DD6"/>
    <w:rsid w:val="006870DC"/>
    <w:rsid w:val="006940B0"/>
    <w:rsid w:val="00695059"/>
    <w:rsid w:val="00695EAD"/>
    <w:rsid w:val="006A4839"/>
    <w:rsid w:val="006C1B07"/>
    <w:rsid w:val="006C4B3E"/>
    <w:rsid w:val="006C7D3E"/>
    <w:rsid w:val="006D71F2"/>
    <w:rsid w:val="006E24D3"/>
    <w:rsid w:val="006E2878"/>
    <w:rsid w:val="006F1573"/>
    <w:rsid w:val="006F615E"/>
    <w:rsid w:val="00704050"/>
    <w:rsid w:val="007076E2"/>
    <w:rsid w:val="0071657D"/>
    <w:rsid w:val="007534C0"/>
    <w:rsid w:val="007550B5"/>
    <w:rsid w:val="007556BE"/>
    <w:rsid w:val="00771864"/>
    <w:rsid w:val="0077321F"/>
    <w:rsid w:val="00783B51"/>
    <w:rsid w:val="007B0512"/>
    <w:rsid w:val="007C13DE"/>
    <w:rsid w:val="007C79B4"/>
    <w:rsid w:val="007D071E"/>
    <w:rsid w:val="007D26B4"/>
    <w:rsid w:val="007D3F30"/>
    <w:rsid w:val="007E63A0"/>
    <w:rsid w:val="007E697F"/>
    <w:rsid w:val="007F08EB"/>
    <w:rsid w:val="007F428B"/>
    <w:rsid w:val="00801619"/>
    <w:rsid w:val="008024F7"/>
    <w:rsid w:val="00803D3B"/>
    <w:rsid w:val="0083587E"/>
    <w:rsid w:val="00847C41"/>
    <w:rsid w:val="0085715F"/>
    <w:rsid w:val="00864AD7"/>
    <w:rsid w:val="0087013E"/>
    <w:rsid w:val="008710CC"/>
    <w:rsid w:val="00873BE2"/>
    <w:rsid w:val="008764AF"/>
    <w:rsid w:val="00885B4C"/>
    <w:rsid w:val="008A2357"/>
    <w:rsid w:val="008B2817"/>
    <w:rsid w:val="008B3D4F"/>
    <w:rsid w:val="008C2A0E"/>
    <w:rsid w:val="008C389F"/>
    <w:rsid w:val="008D0681"/>
    <w:rsid w:val="008D23BF"/>
    <w:rsid w:val="008D2EFD"/>
    <w:rsid w:val="008E10CA"/>
    <w:rsid w:val="008E5504"/>
    <w:rsid w:val="008F3D08"/>
    <w:rsid w:val="00906C79"/>
    <w:rsid w:val="00910DEC"/>
    <w:rsid w:val="009138C0"/>
    <w:rsid w:val="009259D3"/>
    <w:rsid w:val="00941E24"/>
    <w:rsid w:val="00956F0F"/>
    <w:rsid w:val="00957F8C"/>
    <w:rsid w:val="00970727"/>
    <w:rsid w:val="00971D79"/>
    <w:rsid w:val="009921C5"/>
    <w:rsid w:val="009A2FDF"/>
    <w:rsid w:val="009B3EB2"/>
    <w:rsid w:val="009C0C73"/>
    <w:rsid w:val="009D4842"/>
    <w:rsid w:val="009F2AD3"/>
    <w:rsid w:val="009F3E41"/>
    <w:rsid w:val="00A04271"/>
    <w:rsid w:val="00A24AD9"/>
    <w:rsid w:val="00A32422"/>
    <w:rsid w:val="00A32A60"/>
    <w:rsid w:val="00A41390"/>
    <w:rsid w:val="00A45847"/>
    <w:rsid w:val="00A678B8"/>
    <w:rsid w:val="00A9208E"/>
    <w:rsid w:val="00A943D1"/>
    <w:rsid w:val="00AA2766"/>
    <w:rsid w:val="00AA3F6E"/>
    <w:rsid w:val="00AE4507"/>
    <w:rsid w:val="00AF1EB3"/>
    <w:rsid w:val="00AF27A8"/>
    <w:rsid w:val="00B07FAB"/>
    <w:rsid w:val="00B13B87"/>
    <w:rsid w:val="00B26350"/>
    <w:rsid w:val="00B346E7"/>
    <w:rsid w:val="00B553F7"/>
    <w:rsid w:val="00B62866"/>
    <w:rsid w:val="00B673D4"/>
    <w:rsid w:val="00B70D0E"/>
    <w:rsid w:val="00B710C7"/>
    <w:rsid w:val="00B9051D"/>
    <w:rsid w:val="00B9567F"/>
    <w:rsid w:val="00BB229F"/>
    <w:rsid w:val="00C0281D"/>
    <w:rsid w:val="00C45511"/>
    <w:rsid w:val="00C50FE7"/>
    <w:rsid w:val="00C5507F"/>
    <w:rsid w:val="00C73323"/>
    <w:rsid w:val="00C73699"/>
    <w:rsid w:val="00C76755"/>
    <w:rsid w:val="00C976EC"/>
    <w:rsid w:val="00CA0E8A"/>
    <w:rsid w:val="00CA1494"/>
    <w:rsid w:val="00CA19C8"/>
    <w:rsid w:val="00CA4D15"/>
    <w:rsid w:val="00CA5FD4"/>
    <w:rsid w:val="00CB2D28"/>
    <w:rsid w:val="00CC1CF6"/>
    <w:rsid w:val="00CD1648"/>
    <w:rsid w:val="00CE5C55"/>
    <w:rsid w:val="00CF10F4"/>
    <w:rsid w:val="00D00BC8"/>
    <w:rsid w:val="00D07A34"/>
    <w:rsid w:val="00D237EF"/>
    <w:rsid w:val="00D26AB3"/>
    <w:rsid w:val="00D26B48"/>
    <w:rsid w:val="00D276AC"/>
    <w:rsid w:val="00D34E4E"/>
    <w:rsid w:val="00D43A14"/>
    <w:rsid w:val="00D4517B"/>
    <w:rsid w:val="00D5396F"/>
    <w:rsid w:val="00D6103F"/>
    <w:rsid w:val="00D641AB"/>
    <w:rsid w:val="00D750DB"/>
    <w:rsid w:val="00D96DB0"/>
    <w:rsid w:val="00DC1078"/>
    <w:rsid w:val="00DC2BA4"/>
    <w:rsid w:val="00DC2D2B"/>
    <w:rsid w:val="00DD39FE"/>
    <w:rsid w:val="00DE472D"/>
    <w:rsid w:val="00DF0420"/>
    <w:rsid w:val="00E0776E"/>
    <w:rsid w:val="00E14615"/>
    <w:rsid w:val="00E4023F"/>
    <w:rsid w:val="00E434B4"/>
    <w:rsid w:val="00E52393"/>
    <w:rsid w:val="00E528A6"/>
    <w:rsid w:val="00E614B6"/>
    <w:rsid w:val="00E67BE7"/>
    <w:rsid w:val="00E7637B"/>
    <w:rsid w:val="00EB2B6B"/>
    <w:rsid w:val="00EC1193"/>
    <w:rsid w:val="00ED0FBC"/>
    <w:rsid w:val="00EE2F2A"/>
    <w:rsid w:val="00EF00AB"/>
    <w:rsid w:val="00EF04DE"/>
    <w:rsid w:val="00EF1EE9"/>
    <w:rsid w:val="00F00F94"/>
    <w:rsid w:val="00F04E33"/>
    <w:rsid w:val="00F21DAA"/>
    <w:rsid w:val="00F26803"/>
    <w:rsid w:val="00F35630"/>
    <w:rsid w:val="00F655D8"/>
    <w:rsid w:val="00F77369"/>
    <w:rsid w:val="00F83AD3"/>
    <w:rsid w:val="00F86B33"/>
    <w:rsid w:val="00FA634F"/>
    <w:rsid w:val="00FB046C"/>
    <w:rsid w:val="00FC6C10"/>
    <w:rsid w:val="00FD15D4"/>
    <w:rsid w:val="00FD2254"/>
    <w:rsid w:val="00FD659E"/>
    <w:rsid w:val="00FE4208"/>
    <w:rsid w:val="00FE7445"/>
    <w:rsid w:val="00FF2D47"/>
    <w:rsid w:val="03702025"/>
    <w:rsid w:val="0D7F1CC9"/>
    <w:rsid w:val="118F4280"/>
    <w:rsid w:val="121132C2"/>
    <w:rsid w:val="1E994469"/>
    <w:rsid w:val="1EA84440"/>
    <w:rsid w:val="20203320"/>
    <w:rsid w:val="34F2054C"/>
    <w:rsid w:val="3BBD796B"/>
    <w:rsid w:val="43637AE1"/>
    <w:rsid w:val="45F76F43"/>
    <w:rsid w:val="4B507F2D"/>
    <w:rsid w:val="4DB33670"/>
    <w:rsid w:val="550D5DB1"/>
    <w:rsid w:val="5EFE407F"/>
    <w:rsid w:val="5FBC4BE6"/>
    <w:rsid w:val="62A9506B"/>
    <w:rsid w:val="648A7BCE"/>
    <w:rsid w:val="655A34D4"/>
    <w:rsid w:val="6C2F3279"/>
    <w:rsid w:val="6DB47198"/>
    <w:rsid w:val="70E34840"/>
    <w:rsid w:val="73131AB7"/>
    <w:rsid w:val="76E476AF"/>
    <w:rsid w:val="771D47F9"/>
    <w:rsid w:val="7B20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1"/>
    <w:uiPriority w:val="99"/>
    <w:qFormat/>
    <w:rPr>
      <w:rFonts w:cs="Times New Roman"/>
    </w:rPr>
  </w:style>
  <w:style w:type="character" w:customStyle="1" w:styleId="Char">
    <w:name w:val="页脚 Char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533</Words>
  <Characters>3042</Characters>
  <Application>Microsoft Office Word</Application>
  <DocSecurity>0</DocSecurity>
  <Lines>25</Lines>
  <Paragraphs>7</Paragraphs>
  <ScaleCrop>false</ScaleCrop>
  <Company>Micorosoft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Micorosoft</cp:lastModifiedBy>
  <cp:revision>59</cp:revision>
  <cp:lastPrinted>2021-12-21T10:34:00Z</cp:lastPrinted>
  <dcterms:created xsi:type="dcterms:W3CDTF">2021-12-12T13:22:00Z</dcterms:created>
  <dcterms:modified xsi:type="dcterms:W3CDTF">2021-12-28T03:20:00Z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