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0"/>
          <w:szCs w:val="40"/>
        </w:rPr>
        <w:t>植保专业化服务组织标准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一、</w:t>
      </w:r>
      <w:r>
        <w:rPr>
          <w:rFonts w:hint="eastAsia" w:ascii="黑体" w:hAnsi="黑体" w:eastAsia="黑体" w:cs="黑体"/>
          <w:sz w:val="32"/>
          <w:szCs w:val="32"/>
        </w:rPr>
        <w:t>组织或合作社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经注册登记，取得法人资格，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并在所在服务区域区级植保部门备案。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具有固定的经营服务场所和符合安全要求的物资储存条件。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具有5名以上经过植保专业技术培训合格的防治队员（或工作人员持证上岗率达到50％以上），其中获得国家植保员资格或初级职称资格的专业技术人员不少于1名。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具有健全的人员管理、服务管理、田间作业和档案记录等管理制度。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5．日作业能力达到1000亩以上，具备1台以上大型高效施药设备（单台日作业效率在300亩以上）。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二、防治作业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1．根据当地植保部门的指导意见，科学制定病虫害防治方案，采取防治措施。不私自添加药剂或使用违规药剂。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2．按照农药安全使用的有关规定科学使用农药，优先采用农业、物理、生物、化学等综合措施开展病虫害防治服务。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3．施药作业规范。实施具有安全隐患的防治作业时，在相应区域设立警示牌，防止人畜中毒和伤亡事故发生。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 为防治队员配备必要的作业保护用品，做好自身防护，为防治队员投保人身意外伤害险。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 安全储存农药和有关防治用品，妥善处理农药包装废弃物，防止有毒有害物质污染环境。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三、服务管理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1．开展有偿社会化服务，年对外服务面积达3000亩以上。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2．与服务对象签订协议，并按照协议开展专业化病虫害防治服务。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3．建立服务档案，如实记录使用农药种类、用量、时间、区域等信息，与服务协议、防控方案一并归档，并保存两年以上。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 防治总体效果达到85％以上（优于农民分散防治），病虫害总体危害损失率控制在5％以内。</w:t>
      </w:r>
    </w:p>
    <w:p>
      <w:p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widowControl/>
        <w:spacing w:before="0" w:beforeAutospacing="0" w:after="150" w:afterAutospacing="0" w:line="450" w:lineRule="atLeast"/>
        <w:ind w:left="0" w:right="0"/>
        <w:jc w:val="left"/>
        <w:rPr>
          <w:rFonts w:hint="eastAsia" w:ascii="黑体" w:hAnsi="黑体" w:eastAsia="黑体" w:cs="黑体"/>
          <w:color w:val="000000"/>
          <w:kern w:val="0"/>
          <w:sz w:val="32"/>
          <w:szCs w:val="32"/>
          <w:lang w:val="en-US" w:eastAsia="zh-CN" w:bidi="ar"/>
        </w:rPr>
      </w:pPr>
    </w:p>
    <w:p>
      <w:pPr>
        <w:widowControl/>
        <w:spacing w:before="0" w:beforeAutospacing="0" w:after="150" w:afterAutospacing="0" w:line="450" w:lineRule="atLeast"/>
        <w:ind w:left="0" w:right="0"/>
        <w:jc w:val="left"/>
        <w:rPr>
          <w:rFonts w:hint="eastAsia" w:ascii="黑体" w:hAnsi="黑体" w:eastAsia="黑体" w:cs="黑体"/>
          <w:color w:val="000000"/>
          <w:kern w:val="0"/>
          <w:sz w:val="32"/>
          <w:szCs w:val="32"/>
          <w:lang w:val="en-US" w:eastAsia="zh-CN" w:bidi="ar"/>
        </w:rPr>
      </w:pPr>
    </w:p>
    <w:p>
      <w:pPr>
        <w:widowControl/>
        <w:spacing w:before="0" w:beforeAutospacing="0" w:after="150" w:afterAutospacing="0" w:line="450" w:lineRule="atLeast"/>
        <w:ind w:left="0" w:right="0"/>
        <w:jc w:val="left"/>
        <w:rPr>
          <w:rFonts w:hint="eastAsia" w:ascii="黑体" w:hAnsi="黑体" w:eastAsia="黑体" w:cs="黑体"/>
          <w:color w:val="000000"/>
          <w:kern w:val="0"/>
          <w:sz w:val="32"/>
          <w:szCs w:val="32"/>
          <w:lang w:val="en-US" w:eastAsia="zh-CN" w:bidi="ar"/>
        </w:rPr>
      </w:pPr>
    </w:p>
    <w:p>
      <w:pPr>
        <w:widowControl/>
        <w:spacing w:before="0" w:beforeAutospacing="0" w:after="150" w:afterAutospacing="0" w:line="450" w:lineRule="atLeast"/>
        <w:ind w:left="0" w:right="0"/>
        <w:jc w:val="left"/>
        <w:rPr>
          <w:rFonts w:hint="eastAsia" w:ascii="黑体" w:hAnsi="黑体" w:eastAsia="黑体" w:cs="黑体"/>
          <w:color w:val="000000"/>
          <w:kern w:val="0"/>
          <w:sz w:val="32"/>
          <w:szCs w:val="32"/>
          <w:lang w:val="en-US" w:eastAsia="zh-CN" w:bidi="ar"/>
        </w:rPr>
      </w:pPr>
    </w:p>
    <w:p>
      <w:pPr>
        <w:widowControl/>
        <w:spacing w:before="0" w:beforeAutospacing="0" w:after="150" w:afterAutospacing="0" w:line="450" w:lineRule="atLeast"/>
        <w:ind w:left="0" w:right="0"/>
        <w:jc w:val="left"/>
        <w:rPr>
          <w:rFonts w:hint="eastAsia" w:ascii="黑体" w:hAnsi="黑体" w:eastAsia="黑体" w:cs="黑体"/>
          <w:color w:val="000000"/>
          <w:kern w:val="0"/>
          <w:sz w:val="32"/>
          <w:szCs w:val="32"/>
          <w:lang w:val="en-US" w:eastAsia="zh-CN" w:bidi="ar"/>
        </w:rPr>
      </w:pPr>
    </w:p>
    <w:p>
      <w:pPr>
        <w:widowControl/>
        <w:spacing w:before="0" w:beforeAutospacing="0" w:after="150" w:afterAutospacing="0" w:line="450" w:lineRule="atLeast"/>
        <w:ind w:left="0" w:right="0"/>
        <w:jc w:val="left"/>
        <w:rPr>
          <w:rFonts w:hint="eastAsia" w:ascii="黑体" w:hAnsi="黑体" w:eastAsia="黑体" w:cs="黑体"/>
          <w:color w:val="000000"/>
          <w:kern w:val="0"/>
          <w:sz w:val="32"/>
          <w:szCs w:val="32"/>
          <w:lang w:val="en-US" w:eastAsia="zh-CN" w:bidi="ar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EDC98"/>
    <w:multiLevelType w:val="singleLevel"/>
    <w:tmpl w:val="088EDC98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2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1B7C0145"/>
    <w:rsid w:val="38300ED8"/>
    <w:rsid w:val="447C4320"/>
    <w:rsid w:val="5F4B75ED"/>
    <w:rsid w:val="6D351BF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uiPriority w:val="0"/>
    <w:pPr>
      <w:spacing w:afterLines="0" w:afterAutospacing="0"/>
      <w:ind w:leftChars="0" w:firstLine="880" w:firstLineChars="200"/>
    </w:pPr>
    <w:rPr>
      <w:rFonts w:ascii="仿宋_GB2312" w:hAnsi="仿宋_GB2312" w:eastAsia="仿宋_GB2312" w:cs="Times New Roman"/>
      <w:sz w:val="3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Kingsoft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hp002</dc:creator>
  <cp:lastModifiedBy>hp002</cp:lastModifiedBy>
  <dcterms:modified xsi:type="dcterms:W3CDTF">2024-06-14T07:04:50Z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